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BF4B" w14:textId="77777777" w:rsidR="003F3C3C" w:rsidRDefault="00CD6B83">
      <w:pPr>
        <w:spacing w:after="496" w:line="259" w:lineRule="auto"/>
        <w:ind w:left="0" w:firstLine="0"/>
      </w:pPr>
      <w:r>
        <w:rPr>
          <w:rFonts w:ascii="Arial" w:eastAsia="Arial" w:hAnsi="Arial" w:cs="Arial"/>
          <w:b/>
          <w:color w:val="6E6E6E"/>
          <w:sz w:val="18"/>
        </w:rPr>
        <w:t>M A R K E T D AT A INTEGRITY  |  RESEARCH NOTE  |  SEPTEMBER 2026</w:t>
      </w:r>
      <w:r>
        <w:rPr>
          <w:rFonts w:ascii="Arial" w:eastAsia="Arial" w:hAnsi="Arial" w:cs="Arial"/>
          <w:color w:val="1F2937"/>
          <w:sz w:val="20"/>
        </w:rPr>
        <w:t xml:space="preserve"> </w:t>
      </w:r>
    </w:p>
    <w:p w14:paraId="6D256421" w14:textId="77777777" w:rsidR="003F3C3C" w:rsidRDefault="00CD6B83">
      <w:pPr>
        <w:spacing w:after="0" w:line="258" w:lineRule="auto"/>
        <w:ind w:left="0" w:firstLine="0"/>
      </w:pPr>
      <w:r>
        <w:rPr>
          <w:b/>
          <w:sz w:val="40"/>
        </w:rPr>
        <w:t>When Leaderboard PnL Does Not Equal Trading Profit</w:t>
      </w:r>
      <w:r>
        <w:rPr>
          <w:rFonts w:ascii="Arial" w:eastAsia="Arial" w:hAnsi="Arial" w:cs="Arial"/>
          <w:color w:val="1F2937"/>
          <w:sz w:val="20"/>
        </w:rPr>
        <w:t xml:space="preserve"> </w:t>
      </w:r>
    </w:p>
    <w:p w14:paraId="4E7F358E" w14:textId="77777777" w:rsidR="003F3C3C" w:rsidRDefault="00CD6B83">
      <w:pPr>
        <w:spacing w:after="225" w:line="256" w:lineRule="auto"/>
        <w:ind w:left="0" w:firstLine="0"/>
      </w:pPr>
      <w:r>
        <w:rPr>
          <w:i/>
          <w:color w:val="6E6E6E"/>
          <w:sz w:val="23"/>
        </w:rPr>
        <w:t>Five cases where Polymarket's public rankings diverged from the underlying trading economics</w:t>
      </w:r>
      <w:r>
        <w:rPr>
          <w:rFonts w:ascii="Arial" w:eastAsia="Arial" w:hAnsi="Arial" w:cs="Arial"/>
          <w:color w:val="1F2937"/>
          <w:sz w:val="20"/>
        </w:rPr>
        <w:t xml:space="preserve"> </w:t>
      </w:r>
    </w:p>
    <w:p w14:paraId="01367443" w14:textId="77777777" w:rsidR="003F3C3C" w:rsidRDefault="00CD6B83">
      <w:pPr>
        <w:spacing w:after="0" w:line="259" w:lineRule="auto"/>
        <w:ind w:left="0" w:firstLine="0"/>
      </w:pPr>
      <w:r>
        <w:rPr>
          <w:rFonts w:ascii="Arial" w:eastAsia="Arial" w:hAnsi="Arial" w:cs="Arial"/>
          <w:color w:val="1F2937"/>
          <w:sz w:val="20"/>
        </w:rPr>
        <w:t xml:space="preserve"> </w:t>
      </w:r>
    </w:p>
    <w:p w14:paraId="2116E27E" w14:textId="77777777" w:rsidR="003F3C3C" w:rsidRDefault="00CD6B83">
      <w:pPr>
        <w:spacing w:after="287" w:line="259" w:lineRule="auto"/>
        <w:ind w:left="-30" w:right="-40" w:firstLine="0"/>
      </w:pPr>
      <w:r>
        <w:rPr>
          <w:rFonts w:ascii="Calibri" w:eastAsia="Calibri" w:hAnsi="Calibri" w:cs="Calibri"/>
          <w:noProof/>
          <w:color w:val="000000"/>
        </w:rPr>
        <mc:AlternateContent>
          <mc:Choice Requires="wpg">
            <w:drawing>
              <wp:inline distT="0" distB="0" distL="0" distR="0" wp14:anchorId="30B0208A" wp14:editId="6FDD1862">
                <wp:extent cx="5984241" cy="6350"/>
                <wp:effectExtent l="0" t="0" r="0" b="0"/>
                <wp:docPr id="11467" name="Group 11467"/>
                <wp:cNvGraphicFramePr/>
                <a:graphic xmlns:a="http://schemas.openxmlformats.org/drawingml/2006/main">
                  <a:graphicData uri="http://schemas.microsoft.com/office/word/2010/wordprocessingGroup">
                    <wpg:wgp>
                      <wpg:cNvGrpSpPr/>
                      <wpg:grpSpPr>
                        <a:xfrm>
                          <a:off x="0" y="0"/>
                          <a:ext cx="5984241" cy="6350"/>
                          <a:chOff x="0" y="0"/>
                          <a:chExt cx="5984241" cy="6350"/>
                        </a:xfrm>
                      </wpg:grpSpPr>
                      <wps:wsp>
                        <wps:cNvPr id="15473" name="Shape 15473"/>
                        <wps:cNvSpPr/>
                        <wps:spPr>
                          <a:xfrm>
                            <a:off x="0" y="0"/>
                            <a:ext cx="5984241" cy="9144"/>
                          </a:xfrm>
                          <a:custGeom>
                            <a:avLst/>
                            <a:gdLst/>
                            <a:ahLst/>
                            <a:cxnLst/>
                            <a:rect l="0" t="0" r="0" b="0"/>
                            <a:pathLst>
                              <a:path w="5984241" h="9144">
                                <a:moveTo>
                                  <a:pt x="0" y="0"/>
                                </a:moveTo>
                                <a:lnTo>
                                  <a:pt x="5984241" y="0"/>
                                </a:lnTo>
                                <a:lnTo>
                                  <a:pt x="5984241" y="9144"/>
                                </a:lnTo>
                                <a:lnTo>
                                  <a:pt x="0" y="9144"/>
                                </a:lnTo>
                                <a:lnTo>
                                  <a:pt x="0" y="0"/>
                                </a:lnTo>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inline>
            </w:drawing>
          </mc:Choice>
          <mc:Fallback xmlns:a="http://schemas.openxmlformats.org/drawingml/2006/main">
            <w:pict>
              <v:group id="Group 11467" style="width:471.2pt;height:0.5pt;mso-position-horizontal-relative:char;mso-position-vertical-relative:line" coordsize="59842,63">
                <v:shape id="Shape 15474" style="position:absolute;width:59842;height:91;left:0;top:0;" coordsize="5984241,9144" path="m0,0l5984241,0l5984241,9144l0,9144l0,0">
                  <v:stroke weight="0pt" endcap="flat" joinstyle="miter" miterlimit="10" on="false" color="#000000" opacity="0"/>
                  <v:fill on="true" color="#1a1a1a"/>
                </v:shape>
              </v:group>
            </w:pict>
          </mc:Fallback>
        </mc:AlternateContent>
      </w:r>
    </w:p>
    <w:p w14:paraId="05FBBF70" w14:textId="77777777" w:rsidR="003F3C3C" w:rsidRDefault="00CD6B83">
      <w:pPr>
        <w:pStyle w:val="Heading1"/>
        <w:spacing w:after="101"/>
        <w:ind w:left="-5"/>
      </w:pPr>
      <w:r>
        <w:rPr>
          <w:sz w:val="23"/>
        </w:rPr>
        <w:t>THE CORE FINDING</w:t>
      </w:r>
      <w:r>
        <w:rPr>
          <w:rFonts w:ascii="Calibri" w:eastAsia="Calibri" w:hAnsi="Calibri" w:cs="Calibri"/>
          <w:color w:val="1D697D"/>
          <w:sz w:val="25"/>
        </w:rPr>
        <w:t xml:space="preserve"> </w:t>
      </w:r>
    </w:p>
    <w:p w14:paraId="25EBEB7E" w14:textId="77777777" w:rsidR="003F3C3C" w:rsidRDefault="00CD6B83">
      <w:pPr>
        <w:spacing w:after="467"/>
        <w:ind w:left="-5" w:right="4"/>
      </w:pPr>
      <w:r>
        <w:t>Between May and September 2026, MSR Decode documented five distinct cases in which public profit rankings did not cleanly represent profit earned by the ranked wallet during the period shown. The mechanisms differed: gross payouts could be credited without purchase costs, historical values could be assigned to the wrong period, old accounting amounts could reappear as recent gains, and some large ranking values remained unexplained.</w:t>
      </w:r>
      <w:r>
        <w:rPr>
          <w:rFonts w:ascii="Arial" w:eastAsia="Arial" w:hAnsi="Arial" w:cs="Arial"/>
          <w:color w:val="1F2937"/>
          <w:sz w:val="20"/>
        </w:rPr>
        <w:t xml:space="preserve"> </w:t>
      </w:r>
    </w:p>
    <w:p w14:paraId="66B5FAA7" w14:textId="77777777" w:rsidR="003F3C3C" w:rsidRDefault="00CD6B83">
      <w:pPr>
        <w:pStyle w:val="Heading1"/>
        <w:ind w:left="-5"/>
      </w:pPr>
      <w:r>
        <w:t>Executive summary</w:t>
      </w:r>
      <w:r>
        <w:rPr>
          <w:rFonts w:ascii="Calibri" w:eastAsia="Calibri" w:hAnsi="Calibri" w:cs="Calibri"/>
          <w:color w:val="1F2937"/>
          <w:sz w:val="34"/>
        </w:rPr>
        <w:t xml:space="preserve"> </w:t>
      </w:r>
    </w:p>
    <w:p w14:paraId="6E5DD1DD" w14:textId="77777777" w:rsidR="003F3C3C" w:rsidRDefault="00CD6B83">
      <w:pPr>
        <w:spacing w:after="234" w:line="259" w:lineRule="auto"/>
        <w:ind w:left="-30" w:right="-40" w:firstLine="0"/>
      </w:pPr>
      <w:r>
        <w:rPr>
          <w:rFonts w:ascii="Calibri" w:eastAsia="Calibri" w:hAnsi="Calibri" w:cs="Calibri"/>
          <w:noProof/>
          <w:color w:val="000000"/>
        </w:rPr>
        <mc:AlternateContent>
          <mc:Choice Requires="wpg">
            <w:drawing>
              <wp:inline distT="0" distB="0" distL="0" distR="0" wp14:anchorId="0FFD6808" wp14:editId="078CBB46">
                <wp:extent cx="5984241" cy="9525"/>
                <wp:effectExtent l="0" t="0" r="0" b="0"/>
                <wp:docPr id="11468" name="Group 11468"/>
                <wp:cNvGraphicFramePr/>
                <a:graphic xmlns:a="http://schemas.openxmlformats.org/drawingml/2006/main">
                  <a:graphicData uri="http://schemas.microsoft.com/office/word/2010/wordprocessingGroup">
                    <wpg:wgp>
                      <wpg:cNvGrpSpPr/>
                      <wpg:grpSpPr>
                        <a:xfrm>
                          <a:off x="0" y="0"/>
                          <a:ext cx="5984241" cy="9525"/>
                          <a:chOff x="0" y="0"/>
                          <a:chExt cx="5984241" cy="9525"/>
                        </a:xfrm>
                      </wpg:grpSpPr>
                      <wps:wsp>
                        <wps:cNvPr id="15475" name="Shape 15475"/>
                        <wps:cNvSpPr/>
                        <wps:spPr>
                          <a:xfrm>
                            <a:off x="0" y="0"/>
                            <a:ext cx="5984241" cy="9525"/>
                          </a:xfrm>
                          <a:custGeom>
                            <a:avLst/>
                            <a:gdLst/>
                            <a:ahLst/>
                            <a:cxnLst/>
                            <a:rect l="0" t="0" r="0" b="0"/>
                            <a:pathLst>
                              <a:path w="5984241" h="9525">
                                <a:moveTo>
                                  <a:pt x="0" y="0"/>
                                </a:moveTo>
                                <a:lnTo>
                                  <a:pt x="5984241" y="0"/>
                                </a:lnTo>
                                <a:lnTo>
                                  <a:pt x="5984241" y="9525"/>
                                </a:lnTo>
                                <a:lnTo>
                                  <a:pt x="0" y="9525"/>
                                </a:lnTo>
                                <a:lnTo>
                                  <a:pt x="0" y="0"/>
                                </a:lnTo>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inline>
            </w:drawing>
          </mc:Choice>
          <mc:Fallback xmlns:a="http://schemas.openxmlformats.org/drawingml/2006/main">
            <w:pict>
              <v:group id="Group 11468" style="width:471.2pt;height:0.75pt;mso-position-horizontal-relative:char;mso-position-vertical-relative:line" coordsize="59842,95">
                <v:shape id="Shape 15476" style="position:absolute;width:59842;height:95;left:0;top:0;" coordsize="5984241,9525" path="m0,0l5984241,0l5984241,9525l0,9525l0,0">
                  <v:stroke weight="0pt" endcap="flat" joinstyle="miter" miterlimit="10" on="false" color="#000000" opacity="0"/>
                  <v:fill on="true" color="#1a1a1a"/>
                </v:shape>
              </v:group>
            </w:pict>
          </mc:Fallback>
        </mc:AlternateContent>
      </w:r>
    </w:p>
    <w:p w14:paraId="2048F0BE" w14:textId="77777777" w:rsidR="003F3C3C" w:rsidRDefault="00CD6B83">
      <w:pPr>
        <w:ind w:left="-5" w:right="4"/>
      </w:pPr>
      <w:r>
        <w:t>Polymarket leaderboards are designed to identify successful traders. But a leaderboard number can answer a different accounting question from the one a reader assumes. A payout can be mistaken for profit, a lifetime balance can be mistaken for a one-day gain, and an old accounting difference can be presented as if it were newly earned.</w:t>
      </w:r>
      <w:r>
        <w:rPr>
          <w:rFonts w:ascii="Arial" w:eastAsia="Arial" w:hAnsi="Arial" w:cs="Arial"/>
          <w:color w:val="1F2937"/>
          <w:sz w:val="20"/>
        </w:rPr>
        <w:t xml:space="preserve"> </w:t>
      </w:r>
    </w:p>
    <w:p w14:paraId="29485A67" w14:textId="77777777" w:rsidR="003F3C3C" w:rsidRDefault="00CD6B83">
      <w:pPr>
        <w:ind w:left="-5" w:right="4"/>
      </w:pPr>
      <w:r>
        <w:t xml:space="preserve">The most important case involved an account displayed as Papeasy. On September 18, it appeared first on the monthly leaderboard with $6,127,169.04 in profit and $0 of trading volume. The underlying records showed that the ranked wallet was </w:t>
      </w:r>
      <w:r>
        <w:rPr>
          <w:b/>
        </w:rPr>
        <w:t>primarily collecting and redeeming prediction contracts that had been bought by other connected wallets</w:t>
      </w:r>
      <w:r>
        <w:t xml:space="preserve">. </w:t>
      </w:r>
      <w:r>
        <w:t>Over the 30 days to September 18, it converted about $6.00 million of payouts and sent $5.93 million onward; 99.98% of that outgoing money went to wallets that had supplied contracts.</w:t>
      </w:r>
      <w:r>
        <w:rPr>
          <w:rFonts w:ascii="Arial" w:eastAsia="Arial" w:hAnsi="Arial" w:cs="Arial"/>
          <w:color w:val="1F2937"/>
          <w:sz w:val="20"/>
        </w:rPr>
        <w:t xml:space="preserve"> </w:t>
      </w:r>
    </w:p>
    <w:p w14:paraId="57C0EFCB" w14:textId="77777777" w:rsidR="003F3C3C" w:rsidRDefault="00CD6B83">
      <w:pPr>
        <w:ind w:left="-5" w:right="4"/>
      </w:pPr>
      <w:r>
        <w:t>Four other cases show different failure modes: a group of inactive wallets appeared with unexplained recent profits; historical amounts repeatedly lifted dormant accounts into recent rankings; a losing account was shown with roughly $980,000 in monthly profit; and lifetime earnings were presented as one day's profit when a starting record was missing.</w:t>
      </w:r>
      <w:r>
        <w:rPr>
          <w:rFonts w:ascii="Arial" w:eastAsia="Arial" w:hAnsi="Arial" w:cs="Arial"/>
          <w:color w:val="1F2937"/>
          <w:sz w:val="20"/>
        </w:rPr>
        <w:t xml:space="preserve"> </w:t>
      </w:r>
    </w:p>
    <w:p w14:paraId="1FBC1870" w14:textId="77777777" w:rsidR="003F3C3C" w:rsidRDefault="00CD6B83">
      <w:pPr>
        <w:spacing w:after="238" w:line="259" w:lineRule="auto"/>
        <w:ind w:left="0" w:firstLine="0"/>
      </w:pPr>
      <w:r>
        <w:t xml:space="preserve"> </w:t>
      </w:r>
    </w:p>
    <w:p w14:paraId="0E02446D" w14:textId="77777777" w:rsidR="003F3C3C" w:rsidRDefault="00CD6B83">
      <w:pPr>
        <w:spacing w:after="0" w:line="259" w:lineRule="auto"/>
        <w:ind w:left="0" w:firstLine="0"/>
      </w:pPr>
      <w:r>
        <w:lastRenderedPageBreak/>
        <w:t xml:space="preserve"> </w:t>
      </w:r>
    </w:p>
    <w:tbl>
      <w:tblPr>
        <w:tblStyle w:val="TableGrid"/>
        <w:tblW w:w="9364" w:type="dxa"/>
        <w:tblInd w:w="-110" w:type="dxa"/>
        <w:tblCellMar>
          <w:top w:w="39" w:type="dxa"/>
          <w:left w:w="110" w:type="dxa"/>
          <w:bottom w:w="0" w:type="dxa"/>
          <w:right w:w="145" w:type="dxa"/>
        </w:tblCellMar>
        <w:tblLook w:val="04A0" w:firstRow="1" w:lastRow="0" w:firstColumn="1" w:lastColumn="0" w:noHBand="0" w:noVBand="1"/>
      </w:tblPr>
      <w:tblGrid>
        <w:gridCol w:w="2341"/>
        <w:gridCol w:w="2341"/>
        <w:gridCol w:w="2341"/>
        <w:gridCol w:w="2341"/>
      </w:tblGrid>
      <w:tr w:rsidR="003F3C3C" w14:paraId="281DDDF2" w14:textId="77777777">
        <w:trPr>
          <w:trHeight w:val="1990"/>
        </w:trPr>
        <w:tc>
          <w:tcPr>
            <w:tcW w:w="2341" w:type="dxa"/>
            <w:tcBorders>
              <w:top w:val="single" w:sz="4" w:space="0" w:color="000000"/>
              <w:left w:val="single" w:sz="4" w:space="0" w:color="000000"/>
              <w:bottom w:val="single" w:sz="4" w:space="0" w:color="000000"/>
              <w:right w:val="single" w:sz="4" w:space="0" w:color="000000"/>
            </w:tcBorders>
          </w:tcPr>
          <w:p w14:paraId="0807C4DF" w14:textId="77777777" w:rsidR="003F3C3C" w:rsidRDefault="00CD6B83">
            <w:pPr>
              <w:spacing w:after="118" w:line="259" w:lineRule="auto"/>
              <w:ind w:left="0" w:firstLine="0"/>
            </w:pPr>
            <w:r>
              <w:rPr>
                <w:b/>
              </w:rPr>
              <w:t xml:space="preserve">$6.13M </w:t>
            </w:r>
          </w:p>
          <w:p w14:paraId="2D184620" w14:textId="77777777" w:rsidR="003F3C3C" w:rsidRDefault="00CD6B83">
            <w:pPr>
              <w:spacing w:after="120" w:line="257" w:lineRule="auto"/>
              <w:ind w:left="0" w:firstLine="0"/>
            </w:pPr>
            <w:r>
              <w:t xml:space="preserve">Displayed monthly profit for Papeasy on Sep. 18 </w:t>
            </w:r>
          </w:p>
          <w:p w14:paraId="17470C6C" w14:textId="77777777" w:rsidR="003F3C3C" w:rsidRDefault="00CD6B83">
            <w:pPr>
              <w:spacing w:after="0" w:line="259" w:lineRule="auto"/>
              <w:ind w:left="0" w:firstLine="0"/>
            </w:pPr>
            <w: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1BB45A10" w14:textId="77777777" w:rsidR="003F3C3C" w:rsidRDefault="00CD6B83">
            <w:pPr>
              <w:spacing w:after="118" w:line="259" w:lineRule="auto"/>
              <w:ind w:left="0" w:firstLine="0"/>
            </w:pPr>
            <w:r>
              <w:rPr>
                <w:b/>
              </w:rPr>
              <w:t xml:space="preserve">$5.93M </w:t>
            </w:r>
          </w:p>
          <w:p w14:paraId="70EFCE95" w14:textId="77777777" w:rsidR="003F3C3C" w:rsidRDefault="00CD6B83">
            <w:pPr>
              <w:spacing w:after="0" w:line="257" w:lineRule="auto"/>
              <w:ind w:left="0" w:firstLine="0"/>
              <w:jc w:val="both"/>
            </w:pPr>
            <w:r>
              <w:t xml:space="preserve">Cash sent onward over the 30-day </w:t>
            </w:r>
          </w:p>
          <w:p w14:paraId="3AD521DD" w14:textId="77777777" w:rsidR="003F3C3C" w:rsidRDefault="00CD6B83">
            <w:pPr>
              <w:spacing w:after="118" w:line="259" w:lineRule="auto"/>
              <w:ind w:left="0" w:firstLine="0"/>
            </w:pPr>
            <w:r>
              <w:t xml:space="preserve">Papeasy window </w:t>
            </w:r>
          </w:p>
          <w:p w14:paraId="1D80FF51" w14:textId="77777777" w:rsidR="003F3C3C" w:rsidRDefault="00CD6B83">
            <w:pPr>
              <w:spacing w:after="0" w:line="259" w:lineRule="auto"/>
              <w:ind w:left="0" w:firstLine="0"/>
            </w:pPr>
            <w: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78CF8CB5" w14:textId="77777777" w:rsidR="003F3C3C" w:rsidRDefault="00CD6B83">
            <w:pPr>
              <w:spacing w:after="118" w:line="259" w:lineRule="auto"/>
              <w:ind w:left="0" w:firstLine="0"/>
            </w:pPr>
            <w:r>
              <w:rPr>
                <w:b/>
              </w:rPr>
              <w:t xml:space="preserve">$980K </w:t>
            </w:r>
          </w:p>
          <w:p w14:paraId="4D55E421" w14:textId="77777777" w:rsidR="003F3C3C" w:rsidRDefault="00CD6B83">
            <w:pPr>
              <w:spacing w:after="120" w:line="257" w:lineRule="auto"/>
              <w:ind w:left="0" w:firstLine="0"/>
            </w:pPr>
            <w:r>
              <w:t xml:space="preserve">Displayed monthly profit for a wallet reconstructed at about $5,268 down </w:t>
            </w:r>
          </w:p>
          <w:p w14:paraId="731DA0E0" w14:textId="77777777" w:rsidR="003F3C3C" w:rsidRDefault="00CD6B83">
            <w:pPr>
              <w:spacing w:after="0" w:line="259" w:lineRule="auto"/>
              <w:ind w:left="0" w:firstLine="0"/>
            </w:pPr>
            <w: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52B197E0" w14:textId="77777777" w:rsidR="003F3C3C" w:rsidRDefault="00CD6B83">
            <w:pPr>
              <w:spacing w:after="118" w:line="259" w:lineRule="auto"/>
              <w:ind w:left="0" w:firstLine="0"/>
            </w:pPr>
            <w:r>
              <w:rPr>
                <w:b/>
              </w:rPr>
              <w:t xml:space="preserve">6 of 7 </w:t>
            </w:r>
          </w:p>
          <w:p w14:paraId="021C58CD" w14:textId="77777777" w:rsidR="003F3C3C" w:rsidRDefault="00CD6B83">
            <w:pPr>
              <w:spacing w:after="120" w:line="257" w:lineRule="auto"/>
              <w:ind w:left="0" w:firstLine="0"/>
            </w:pPr>
            <w:r>
              <w:t xml:space="preserve">Accounts with a missing midnight baseline that showed the June error </w:t>
            </w:r>
          </w:p>
          <w:p w14:paraId="14875D95" w14:textId="77777777" w:rsidR="003F3C3C" w:rsidRDefault="00CD6B83">
            <w:pPr>
              <w:spacing w:after="0" w:line="259" w:lineRule="auto"/>
              <w:ind w:left="0" w:firstLine="0"/>
            </w:pPr>
            <w:r>
              <w:t xml:space="preserve"> </w:t>
            </w:r>
          </w:p>
        </w:tc>
      </w:tr>
    </w:tbl>
    <w:p w14:paraId="1CD85BF7" w14:textId="77777777" w:rsidR="003F3C3C" w:rsidRDefault="00CD6B83">
      <w:pPr>
        <w:spacing w:after="530" w:line="294" w:lineRule="auto"/>
        <w:ind w:left="0" w:firstLine="0"/>
      </w:pPr>
      <w:r>
        <w:rPr>
          <w:i/>
          <w:sz w:val="16"/>
        </w:rPr>
        <w:t xml:space="preserve">This report does not claim that all five cases share one cause, that users lost money, that affected wallets manipulated the rankings, or that any defect remains live today. The findings are tied to dated captures and reconstructed public records. </w:t>
      </w:r>
    </w:p>
    <w:p w14:paraId="334CDE69" w14:textId="77777777" w:rsidR="003F3C3C" w:rsidRDefault="00CD6B83">
      <w:pPr>
        <w:pStyle w:val="Heading1"/>
        <w:ind w:left="-5"/>
      </w:pPr>
      <w:r>
        <w:t>How to read these rankings</w:t>
      </w:r>
      <w:r>
        <w:rPr>
          <w:rFonts w:ascii="Calibri" w:eastAsia="Calibri" w:hAnsi="Calibri" w:cs="Calibri"/>
          <w:color w:val="1F2937"/>
          <w:sz w:val="34"/>
        </w:rPr>
        <w:t xml:space="preserve"> </w:t>
      </w:r>
    </w:p>
    <w:p w14:paraId="26FD2728" w14:textId="77777777" w:rsidR="003F3C3C" w:rsidRDefault="00CD6B83">
      <w:pPr>
        <w:spacing w:after="234" w:line="259" w:lineRule="auto"/>
        <w:ind w:left="-30" w:right="-40" w:firstLine="0"/>
      </w:pPr>
      <w:r>
        <w:rPr>
          <w:rFonts w:ascii="Calibri" w:eastAsia="Calibri" w:hAnsi="Calibri" w:cs="Calibri"/>
          <w:noProof/>
          <w:color w:val="000000"/>
        </w:rPr>
        <mc:AlternateContent>
          <mc:Choice Requires="wpg">
            <w:drawing>
              <wp:inline distT="0" distB="0" distL="0" distR="0" wp14:anchorId="3CF92108" wp14:editId="3C74F704">
                <wp:extent cx="5984241" cy="9525"/>
                <wp:effectExtent l="0" t="0" r="0" b="0"/>
                <wp:docPr id="12270" name="Group 12270"/>
                <wp:cNvGraphicFramePr/>
                <a:graphic xmlns:a="http://schemas.openxmlformats.org/drawingml/2006/main">
                  <a:graphicData uri="http://schemas.microsoft.com/office/word/2010/wordprocessingGroup">
                    <wpg:wgp>
                      <wpg:cNvGrpSpPr/>
                      <wpg:grpSpPr>
                        <a:xfrm>
                          <a:off x="0" y="0"/>
                          <a:ext cx="5984241" cy="9525"/>
                          <a:chOff x="0" y="0"/>
                          <a:chExt cx="5984241" cy="9525"/>
                        </a:xfrm>
                      </wpg:grpSpPr>
                      <wps:wsp>
                        <wps:cNvPr id="15477" name="Shape 15477"/>
                        <wps:cNvSpPr/>
                        <wps:spPr>
                          <a:xfrm>
                            <a:off x="0" y="0"/>
                            <a:ext cx="5984241" cy="9525"/>
                          </a:xfrm>
                          <a:custGeom>
                            <a:avLst/>
                            <a:gdLst/>
                            <a:ahLst/>
                            <a:cxnLst/>
                            <a:rect l="0" t="0" r="0" b="0"/>
                            <a:pathLst>
                              <a:path w="5984241" h="9525">
                                <a:moveTo>
                                  <a:pt x="0" y="0"/>
                                </a:moveTo>
                                <a:lnTo>
                                  <a:pt x="5984241" y="0"/>
                                </a:lnTo>
                                <a:lnTo>
                                  <a:pt x="5984241" y="9525"/>
                                </a:lnTo>
                                <a:lnTo>
                                  <a:pt x="0" y="9525"/>
                                </a:lnTo>
                                <a:lnTo>
                                  <a:pt x="0" y="0"/>
                                </a:lnTo>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inline>
            </w:drawing>
          </mc:Choice>
          <mc:Fallback xmlns:a="http://schemas.openxmlformats.org/drawingml/2006/main">
            <w:pict>
              <v:group id="Group 12270" style="width:471.2pt;height:0.75pt;mso-position-horizontal-relative:char;mso-position-vertical-relative:line" coordsize="59842,95">
                <v:shape id="Shape 15478" style="position:absolute;width:59842;height:95;left:0;top:0;" coordsize="5984241,9525" path="m0,0l5984241,0l5984241,9525l0,9525l0,0">
                  <v:stroke weight="0pt" endcap="flat" joinstyle="miter" miterlimit="10" on="false" color="#000000" opacity="0"/>
                  <v:fill on="true" color="#1a1a1a"/>
                </v:shape>
              </v:group>
            </w:pict>
          </mc:Fallback>
        </mc:AlternateContent>
      </w:r>
    </w:p>
    <w:p w14:paraId="58D3E82C" w14:textId="77777777" w:rsidR="003F3C3C" w:rsidRDefault="00CD6B83">
      <w:pPr>
        <w:spacing w:after="243"/>
        <w:ind w:left="-5" w:right="4"/>
      </w:pPr>
      <w:r>
        <w:t>The five cases become easier to understand once four accounting distinctions are separated.</w:t>
      </w:r>
      <w:r>
        <w:rPr>
          <w:rFonts w:ascii="Arial" w:eastAsia="Arial" w:hAnsi="Arial" w:cs="Arial"/>
          <w:color w:val="1F2937"/>
          <w:sz w:val="20"/>
        </w:rPr>
        <w:t xml:space="preserve"> </w:t>
      </w:r>
    </w:p>
    <w:p w14:paraId="547EB421" w14:textId="77777777" w:rsidR="003F3C3C" w:rsidRDefault="00CD6B83">
      <w:pPr>
        <w:pStyle w:val="Heading2"/>
        <w:ind w:left="-5"/>
      </w:pPr>
      <w:r>
        <w:t>1. A payout is not the same thing as profit</w:t>
      </w:r>
      <w:r>
        <w:rPr>
          <w:rFonts w:ascii="Calibri" w:eastAsia="Calibri" w:hAnsi="Calibri" w:cs="Calibri"/>
          <w:color w:val="1D697D"/>
          <w:sz w:val="25"/>
        </w:rPr>
        <w:t xml:space="preserve"> </w:t>
      </w:r>
    </w:p>
    <w:p w14:paraId="1BD12F28" w14:textId="77777777" w:rsidR="003F3C3C" w:rsidRDefault="00CD6B83">
      <w:pPr>
        <w:spacing w:after="233"/>
        <w:ind w:left="-5" w:right="4"/>
      </w:pPr>
      <w:r>
        <w:t>A winning Yes/No contract pays $1, but the contract had to be acquired first. If a trader pays 90 cents and later receives $1, the payout is $1 while the economic gain is 10 cents before fees and other costs. Treating the full $1 as profit would overstate the result.</w:t>
      </w:r>
      <w:r>
        <w:rPr>
          <w:rFonts w:ascii="Arial" w:eastAsia="Arial" w:hAnsi="Arial" w:cs="Arial"/>
          <w:color w:val="1F2937"/>
          <w:sz w:val="20"/>
        </w:rPr>
        <w:t xml:space="preserve"> </w:t>
      </w:r>
    </w:p>
    <w:p w14:paraId="430ACADA" w14:textId="77777777" w:rsidR="003F3C3C" w:rsidRDefault="00CD6B83">
      <w:pPr>
        <w:pStyle w:val="Heading2"/>
        <w:ind w:left="-5"/>
      </w:pPr>
      <w:r>
        <w:t>2. One wallet is not always the whole trading operation</w:t>
      </w:r>
      <w:r>
        <w:rPr>
          <w:rFonts w:ascii="Calibri" w:eastAsia="Calibri" w:hAnsi="Calibri" w:cs="Calibri"/>
          <w:color w:val="1D697D"/>
          <w:sz w:val="25"/>
        </w:rPr>
        <w:t xml:space="preserve"> </w:t>
      </w:r>
    </w:p>
    <w:p w14:paraId="1014E550" w14:textId="77777777" w:rsidR="003F3C3C" w:rsidRDefault="00CD6B83">
      <w:pPr>
        <w:spacing w:after="239"/>
        <w:ind w:left="-5" w:right="4"/>
      </w:pPr>
      <w:r>
        <w:t>If wallet A buys a contract and wallet B later receives and redeems it, the purchase cost can remain associated with A while the payout appears in B. Measuring the wallets separately can make one address look like a large loser and the other look like a large winner even though the transactions belong to the same connected operation.</w:t>
      </w:r>
      <w:r>
        <w:rPr>
          <w:rFonts w:ascii="Arial" w:eastAsia="Arial" w:hAnsi="Arial" w:cs="Arial"/>
          <w:color w:val="1F2937"/>
          <w:sz w:val="20"/>
        </w:rPr>
        <w:t xml:space="preserve"> </w:t>
      </w:r>
    </w:p>
    <w:p w14:paraId="0CADF8EB" w14:textId="77777777" w:rsidR="003F3C3C" w:rsidRDefault="00CD6B83">
      <w:pPr>
        <w:pStyle w:val="Heading2"/>
        <w:ind w:left="-5"/>
      </w:pPr>
      <w:r>
        <w:t>3. Lifetime PnL is not period PnL</w:t>
      </w:r>
      <w:r>
        <w:rPr>
          <w:rFonts w:ascii="Calibri" w:eastAsia="Calibri" w:hAnsi="Calibri" w:cs="Calibri"/>
          <w:color w:val="1D697D"/>
          <w:sz w:val="25"/>
        </w:rPr>
        <w:t xml:space="preserve"> </w:t>
      </w:r>
    </w:p>
    <w:p w14:paraId="09331475" w14:textId="77777777" w:rsidR="003F3C3C" w:rsidRDefault="00CD6B83">
      <w:pPr>
        <w:spacing w:after="238"/>
        <w:ind w:left="-5" w:right="4"/>
      </w:pPr>
      <w:r>
        <w:t>To calculate profit for a day, week or month, the system needs a starting value. If an account has $4 million of lifetime profit at midnight and still has $4 million at the end of the day, that day's profit is zero. If the midnight baseline is missing or treated as zero, the full $4 million can incorrectly appear as new daily profit.</w:t>
      </w:r>
      <w:r>
        <w:rPr>
          <w:rFonts w:ascii="Arial" w:eastAsia="Arial" w:hAnsi="Arial" w:cs="Arial"/>
          <w:color w:val="1F2937"/>
          <w:sz w:val="20"/>
        </w:rPr>
        <w:t xml:space="preserve"> </w:t>
      </w:r>
    </w:p>
    <w:p w14:paraId="07A4921E" w14:textId="77777777" w:rsidR="003F3C3C" w:rsidRDefault="00CD6B83">
      <w:pPr>
        <w:pStyle w:val="Heading2"/>
        <w:ind w:left="-5"/>
      </w:pPr>
      <w:r>
        <w:t>4. An old accounting difference is not a new gain</w:t>
      </w:r>
      <w:r>
        <w:rPr>
          <w:rFonts w:ascii="Calibri" w:eastAsia="Calibri" w:hAnsi="Calibri" w:cs="Calibri"/>
          <w:color w:val="1D697D"/>
          <w:sz w:val="25"/>
        </w:rPr>
        <w:t xml:space="preserve"> </w:t>
      </w:r>
    </w:p>
    <w:p w14:paraId="4F86328F" w14:textId="77777777" w:rsidR="003F3C3C" w:rsidRDefault="00CD6B83">
      <w:pPr>
        <w:ind w:left="-5" w:right="4"/>
      </w:pPr>
      <w:r>
        <w:t>Historical accounting values can persist for years. If an old $100,000 difference is inserted into a current monthly result, a dormant wallet can appear among the month's best traders without earning anything new.</w:t>
      </w:r>
      <w:r>
        <w:rPr>
          <w:rFonts w:ascii="Arial" w:eastAsia="Arial" w:hAnsi="Arial" w:cs="Arial"/>
          <w:color w:val="1F2937"/>
          <w:sz w:val="20"/>
        </w:rPr>
        <w:t xml:space="preserve"> </w:t>
      </w:r>
    </w:p>
    <w:p w14:paraId="6A4E717C" w14:textId="77777777" w:rsidR="003F3C3C" w:rsidRDefault="00CD6B83">
      <w:pPr>
        <w:pStyle w:val="Heading1"/>
        <w:ind w:left="-5"/>
      </w:pPr>
      <w:r>
        <w:t>Five documented cases at a glance</w:t>
      </w:r>
      <w:r>
        <w:rPr>
          <w:rFonts w:ascii="Calibri" w:eastAsia="Calibri" w:hAnsi="Calibri" w:cs="Calibri"/>
          <w:color w:val="1F2937"/>
          <w:sz w:val="34"/>
        </w:rPr>
        <w:t xml:space="preserve"> </w:t>
      </w:r>
    </w:p>
    <w:p w14:paraId="5E64A492" w14:textId="77777777" w:rsidR="003F3C3C" w:rsidRDefault="00CD6B83">
      <w:pPr>
        <w:spacing w:after="206" w:line="259" w:lineRule="auto"/>
        <w:ind w:left="-30" w:right="-40" w:firstLine="0"/>
      </w:pPr>
      <w:r>
        <w:rPr>
          <w:rFonts w:ascii="Calibri" w:eastAsia="Calibri" w:hAnsi="Calibri" w:cs="Calibri"/>
          <w:noProof/>
          <w:color w:val="000000"/>
        </w:rPr>
        <mc:AlternateContent>
          <mc:Choice Requires="wpg">
            <w:drawing>
              <wp:inline distT="0" distB="0" distL="0" distR="0" wp14:anchorId="6E351663" wp14:editId="05A8CE2D">
                <wp:extent cx="5984241" cy="9525"/>
                <wp:effectExtent l="0" t="0" r="0" b="0"/>
                <wp:docPr id="14815" name="Group 14815"/>
                <wp:cNvGraphicFramePr/>
                <a:graphic xmlns:a="http://schemas.openxmlformats.org/drawingml/2006/main">
                  <a:graphicData uri="http://schemas.microsoft.com/office/word/2010/wordprocessingGroup">
                    <wpg:wgp>
                      <wpg:cNvGrpSpPr/>
                      <wpg:grpSpPr>
                        <a:xfrm>
                          <a:off x="0" y="0"/>
                          <a:ext cx="5984241" cy="9525"/>
                          <a:chOff x="0" y="0"/>
                          <a:chExt cx="5984241" cy="9525"/>
                        </a:xfrm>
                      </wpg:grpSpPr>
                      <wps:wsp>
                        <wps:cNvPr id="15479" name="Shape 15479"/>
                        <wps:cNvSpPr/>
                        <wps:spPr>
                          <a:xfrm>
                            <a:off x="0" y="0"/>
                            <a:ext cx="5984241" cy="9525"/>
                          </a:xfrm>
                          <a:custGeom>
                            <a:avLst/>
                            <a:gdLst/>
                            <a:ahLst/>
                            <a:cxnLst/>
                            <a:rect l="0" t="0" r="0" b="0"/>
                            <a:pathLst>
                              <a:path w="5984241" h="9525">
                                <a:moveTo>
                                  <a:pt x="0" y="0"/>
                                </a:moveTo>
                                <a:lnTo>
                                  <a:pt x="5984241" y="0"/>
                                </a:lnTo>
                                <a:lnTo>
                                  <a:pt x="5984241" y="9525"/>
                                </a:lnTo>
                                <a:lnTo>
                                  <a:pt x="0" y="9525"/>
                                </a:lnTo>
                                <a:lnTo>
                                  <a:pt x="0" y="0"/>
                                </a:lnTo>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inline>
            </w:drawing>
          </mc:Choice>
          <mc:Fallback xmlns:a="http://schemas.openxmlformats.org/drawingml/2006/main">
            <w:pict>
              <v:group id="Group 14815" style="width:471.2pt;height:0.75pt;mso-position-horizontal-relative:char;mso-position-vertical-relative:line" coordsize="59842,95">
                <v:shape id="Shape 15480" style="position:absolute;width:59842;height:95;left:0;top:0;" coordsize="5984241,9525" path="m0,0l5984241,0l5984241,9525l0,9525l0,0">
                  <v:stroke weight="0pt" endcap="flat" joinstyle="miter" miterlimit="10" on="false" color="#000000" opacity="0"/>
                  <v:fill on="true" color="#1a1a1a"/>
                </v:shape>
              </v:group>
            </w:pict>
          </mc:Fallback>
        </mc:AlternateContent>
      </w:r>
    </w:p>
    <w:tbl>
      <w:tblPr>
        <w:tblStyle w:val="TableGrid"/>
        <w:tblW w:w="9364" w:type="dxa"/>
        <w:tblInd w:w="0" w:type="dxa"/>
        <w:tblCellMar>
          <w:top w:w="0" w:type="dxa"/>
          <w:left w:w="0" w:type="dxa"/>
          <w:bottom w:w="0" w:type="dxa"/>
          <w:right w:w="118" w:type="dxa"/>
        </w:tblCellMar>
        <w:tblLook w:val="04A0" w:firstRow="1" w:lastRow="0" w:firstColumn="1" w:lastColumn="0" w:noHBand="0" w:noVBand="1"/>
      </w:tblPr>
      <w:tblGrid>
        <w:gridCol w:w="1160"/>
        <w:gridCol w:w="1451"/>
        <w:gridCol w:w="1901"/>
        <w:gridCol w:w="2751"/>
        <w:gridCol w:w="2101"/>
      </w:tblGrid>
      <w:tr w:rsidR="003F3C3C" w14:paraId="5A43E506" w14:textId="77777777">
        <w:trPr>
          <w:trHeight w:val="698"/>
        </w:trPr>
        <w:tc>
          <w:tcPr>
            <w:tcW w:w="1161" w:type="dxa"/>
            <w:tcBorders>
              <w:top w:val="single" w:sz="4" w:space="0" w:color="1A1A1A"/>
              <w:left w:val="nil"/>
              <w:bottom w:val="single" w:sz="4" w:space="0" w:color="1A1A1A"/>
              <w:right w:val="nil"/>
            </w:tcBorders>
            <w:shd w:val="clear" w:color="auto" w:fill="E8E8E8"/>
            <w:vAlign w:val="center"/>
          </w:tcPr>
          <w:p w14:paraId="560A5EE9" w14:textId="77777777" w:rsidR="003F3C3C" w:rsidRDefault="00CD6B83">
            <w:pPr>
              <w:spacing w:after="0" w:line="259" w:lineRule="auto"/>
              <w:ind w:left="160" w:firstLine="0"/>
            </w:pPr>
            <w:r>
              <w:rPr>
                <w:rFonts w:ascii="Arial" w:eastAsia="Arial" w:hAnsi="Arial" w:cs="Arial"/>
                <w:b/>
                <w:sz w:val="19"/>
              </w:rPr>
              <w:lastRenderedPageBreak/>
              <w:t>Case</w:t>
            </w:r>
            <w:r>
              <w:rPr>
                <w:rFonts w:ascii="Arial" w:eastAsia="Arial" w:hAnsi="Arial" w:cs="Arial"/>
                <w:color w:val="1F2937"/>
                <w:sz w:val="20"/>
              </w:rPr>
              <w:t xml:space="preserve"> </w:t>
            </w:r>
          </w:p>
        </w:tc>
        <w:tc>
          <w:tcPr>
            <w:tcW w:w="1451" w:type="dxa"/>
            <w:tcBorders>
              <w:top w:val="single" w:sz="4" w:space="0" w:color="1A1A1A"/>
              <w:left w:val="nil"/>
              <w:bottom w:val="single" w:sz="4" w:space="0" w:color="1A1A1A"/>
              <w:right w:val="nil"/>
            </w:tcBorders>
            <w:shd w:val="clear" w:color="auto" w:fill="E8E8E8"/>
            <w:vAlign w:val="center"/>
          </w:tcPr>
          <w:p w14:paraId="66E803BB" w14:textId="77777777" w:rsidR="003F3C3C" w:rsidRDefault="00CD6B83">
            <w:pPr>
              <w:spacing w:after="0" w:line="259" w:lineRule="auto"/>
              <w:ind w:left="0" w:firstLine="0"/>
            </w:pPr>
            <w:r>
              <w:rPr>
                <w:rFonts w:ascii="Arial" w:eastAsia="Arial" w:hAnsi="Arial" w:cs="Arial"/>
                <w:b/>
                <w:sz w:val="19"/>
              </w:rPr>
              <w:t>What appeared</w:t>
            </w:r>
            <w:r>
              <w:rPr>
                <w:rFonts w:ascii="Arial" w:eastAsia="Arial" w:hAnsi="Arial" w:cs="Arial"/>
                <w:color w:val="1F2937"/>
                <w:sz w:val="20"/>
              </w:rPr>
              <w:t xml:space="preserve"> </w:t>
            </w:r>
          </w:p>
        </w:tc>
        <w:tc>
          <w:tcPr>
            <w:tcW w:w="1901" w:type="dxa"/>
            <w:tcBorders>
              <w:top w:val="single" w:sz="4" w:space="0" w:color="1A1A1A"/>
              <w:left w:val="nil"/>
              <w:bottom w:val="single" w:sz="4" w:space="0" w:color="1A1A1A"/>
              <w:right w:val="nil"/>
            </w:tcBorders>
            <w:shd w:val="clear" w:color="auto" w:fill="E8E8E8"/>
            <w:vAlign w:val="center"/>
          </w:tcPr>
          <w:p w14:paraId="6DE41D22" w14:textId="77777777" w:rsidR="003F3C3C" w:rsidRDefault="00CD6B83">
            <w:pPr>
              <w:spacing w:after="0" w:line="259" w:lineRule="auto"/>
              <w:ind w:left="0" w:firstLine="0"/>
            </w:pPr>
            <w:r>
              <w:rPr>
                <w:rFonts w:ascii="Arial" w:eastAsia="Arial" w:hAnsi="Arial" w:cs="Arial"/>
                <w:b/>
                <w:sz w:val="19"/>
              </w:rPr>
              <w:t>Reader-facing result</w:t>
            </w:r>
            <w:r>
              <w:rPr>
                <w:rFonts w:ascii="Arial" w:eastAsia="Arial" w:hAnsi="Arial" w:cs="Arial"/>
                <w:color w:val="1F2937"/>
                <w:sz w:val="20"/>
              </w:rPr>
              <w:t xml:space="preserve"> </w:t>
            </w:r>
          </w:p>
        </w:tc>
        <w:tc>
          <w:tcPr>
            <w:tcW w:w="2751" w:type="dxa"/>
            <w:tcBorders>
              <w:top w:val="single" w:sz="4" w:space="0" w:color="1A1A1A"/>
              <w:left w:val="nil"/>
              <w:bottom w:val="single" w:sz="4" w:space="0" w:color="1A1A1A"/>
              <w:right w:val="nil"/>
            </w:tcBorders>
            <w:shd w:val="clear" w:color="auto" w:fill="E8E8E8"/>
            <w:vAlign w:val="center"/>
          </w:tcPr>
          <w:p w14:paraId="633E9963" w14:textId="77777777" w:rsidR="003F3C3C" w:rsidRDefault="00CD6B83">
            <w:pPr>
              <w:spacing w:after="0" w:line="259" w:lineRule="auto"/>
              <w:ind w:left="0" w:firstLine="0"/>
            </w:pPr>
            <w:r>
              <w:rPr>
                <w:rFonts w:ascii="Arial" w:eastAsia="Arial" w:hAnsi="Arial" w:cs="Arial"/>
                <w:b/>
                <w:sz w:val="19"/>
              </w:rPr>
              <w:t>Underlying finding</w:t>
            </w:r>
            <w:r>
              <w:rPr>
                <w:rFonts w:ascii="Arial" w:eastAsia="Arial" w:hAnsi="Arial" w:cs="Arial"/>
                <w:color w:val="1F2937"/>
                <w:sz w:val="20"/>
              </w:rPr>
              <w:t xml:space="preserve"> </w:t>
            </w:r>
          </w:p>
        </w:tc>
        <w:tc>
          <w:tcPr>
            <w:tcW w:w="2101" w:type="dxa"/>
            <w:tcBorders>
              <w:top w:val="single" w:sz="4" w:space="0" w:color="1A1A1A"/>
              <w:left w:val="nil"/>
              <w:bottom w:val="single" w:sz="4" w:space="0" w:color="1A1A1A"/>
              <w:right w:val="nil"/>
            </w:tcBorders>
            <w:shd w:val="clear" w:color="auto" w:fill="E8E8E8"/>
            <w:vAlign w:val="center"/>
          </w:tcPr>
          <w:p w14:paraId="738F4480" w14:textId="77777777" w:rsidR="003F3C3C" w:rsidRDefault="00CD6B83">
            <w:pPr>
              <w:spacing w:after="0" w:line="259" w:lineRule="auto"/>
              <w:ind w:left="0" w:firstLine="0"/>
            </w:pPr>
            <w:r>
              <w:rPr>
                <w:rFonts w:ascii="Arial" w:eastAsia="Arial" w:hAnsi="Arial" w:cs="Arial"/>
                <w:b/>
                <w:sz w:val="19"/>
              </w:rPr>
              <w:t>Status</w:t>
            </w:r>
            <w:r>
              <w:rPr>
                <w:rFonts w:ascii="Arial" w:eastAsia="Arial" w:hAnsi="Arial" w:cs="Arial"/>
                <w:color w:val="1F2937"/>
                <w:sz w:val="20"/>
              </w:rPr>
              <w:t xml:space="preserve"> </w:t>
            </w:r>
          </w:p>
        </w:tc>
      </w:tr>
      <w:tr w:rsidR="003F3C3C" w14:paraId="7CC871D5" w14:textId="77777777">
        <w:trPr>
          <w:trHeight w:val="1182"/>
        </w:trPr>
        <w:tc>
          <w:tcPr>
            <w:tcW w:w="1161" w:type="dxa"/>
            <w:tcBorders>
              <w:top w:val="single" w:sz="4" w:space="0" w:color="1A1A1A"/>
              <w:left w:val="nil"/>
              <w:bottom w:val="single" w:sz="4" w:space="0" w:color="1A1A1A"/>
              <w:right w:val="nil"/>
            </w:tcBorders>
            <w:vAlign w:val="center"/>
          </w:tcPr>
          <w:p w14:paraId="79B60133" w14:textId="77777777" w:rsidR="003F3C3C" w:rsidRDefault="00CD6B83">
            <w:pPr>
              <w:spacing w:after="0" w:line="259" w:lineRule="auto"/>
              <w:ind w:left="534" w:firstLine="0"/>
              <w:jc w:val="center"/>
            </w:pPr>
            <w:r>
              <w:rPr>
                <w:rFonts w:ascii="Arial" w:eastAsia="Arial" w:hAnsi="Arial" w:cs="Arial"/>
                <w:sz w:val="19"/>
              </w:rPr>
              <w:t>1</w:t>
            </w:r>
            <w:r>
              <w:rPr>
                <w:rFonts w:ascii="Arial" w:eastAsia="Arial" w:hAnsi="Arial" w:cs="Arial"/>
                <w:color w:val="1F2937"/>
                <w:sz w:val="20"/>
              </w:rPr>
              <w:t xml:space="preserve"> </w:t>
            </w:r>
          </w:p>
        </w:tc>
        <w:tc>
          <w:tcPr>
            <w:tcW w:w="1451" w:type="dxa"/>
            <w:tcBorders>
              <w:top w:val="single" w:sz="4" w:space="0" w:color="1A1A1A"/>
              <w:left w:val="nil"/>
              <w:bottom w:val="single" w:sz="4" w:space="0" w:color="1A1A1A"/>
              <w:right w:val="nil"/>
            </w:tcBorders>
            <w:vAlign w:val="center"/>
          </w:tcPr>
          <w:p w14:paraId="5659028E" w14:textId="77777777" w:rsidR="003F3C3C" w:rsidRDefault="00CD6B83">
            <w:pPr>
              <w:spacing w:after="0" w:line="259" w:lineRule="auto"/>
              <w:ind w:left="0" w:right="6" w:firstLine="0"/>
            </w:pPr>
            <w:r>
              <w:rPr>
                <w:rFonts w:ascii="Arial" w:eastAsia="Arial" w:hAnsi="Arial" w:cs="Arial"/>
                <w:sz w:val="19"/>
              </w:rPr>
              <w:t>Papeasy payout collector</w:t>
            </w:r>
            <w:r>
              <w:rPr>
                <w:rFonts w:ascii="Arial" w:eastAsia="Arial" w:hAnsi="Arial" w:cs="Arial"/>
                <w:color w:val="1F2937"/>
                <w:sz w:val="20"/>
              </w:rPr>
              <w:t xml:space="preserve"> </w:t>
            </w:r>
          </w:p>
        </w:tc>
        <w:tc>
          <w:tcPr>
            <w:tcW w:w="1901" w:type="dxa"/>
            <w:tcBorders>
              <w:top w:val="single" w:sz="4" w:space="0" w:color="1A1A1A"/>
              <w:left w:val="nil"/>
              <w:bottom w:val="single" w:sz="4" w:space="0" w:color="1A1A1A"/>
              <w:right w:val="nil"/>
            </w:tcBorders>
            <w:vAlign w:val="center"/>
          </w:tcPr>
          <w:p w14:paraId="2FC3D356" w14:textId="77777777" w:rsidR="003F3C3C" w:rsidRDefault="00CD6B83">
            <w:pPr>
              <w:spacing w:after="0" w:line="259" w:lineRule="auto"/>
              <w:ind w:left="0" w:firstLine="0"/>
            </w:pPr>
            <w:r>
              <w:rPr>
                <w:rFonts w:ascii="Arial" w:eastAsia="Arial" w:hAnsi="Arial" w:cs="Arial"/>
                <w:sz w:val="19"/>
              </w:rPr>
              <w:t>$6.13M monthly profit; $0 volume</w:t>
            </w:r>
            <w:r>
              <w:rPr>
                <w:rFonts w:ascii="Arial" w:eastAsia="Arial" w:hAnsi="Arial" w:cs="Arial"/>
                <w:color w:val="1F2937"/>
                <w:sz w:val="20"/>
              </w:rPr>
              <w:t xml:space="preserve"> </w:t>
            </w:r>
          </w:p>
        </w:tc>
        <w:tc>
          <w:tcPr>
            <w:tcW w:w="2751" w:type="dxa"/>
            <w:tcBorders>
              <w:top w:val="single" w:sz="4" w:space="0" w:color="1A1A1A"/>
              <w:left w:val="nil"/>
              <w:bottom w:val="single" w:sz="4" w:space="0" w:color="1A1A1A"/>
              <w:right w:val="nil"/>
            </w:tcBorders>
            <w:vAlign w:val="center"/>
          </w:tcPr>
          <w:p w14:paraId="068F443E" w14:textId="77777777" w:rsidR="003F3C3C" w:rsidRDefault="00CD6B83">
            <w:pPr>
              <w:spacing w:after="4" w:line="261" w:lineRule="auto"/>
              <w:ind w:left="0" w:right="65" w:firstLine="0"/>
            </w:pPr>
            <w:r>
              <w:rPr>
                <w:rFonts w:ascii="Arial" w:eastAsia="Arial" w:hAnsi="Arial" w:cs="Arial"/>
                <w:sz w:val="19"/>
              </w:rPr>
              <w:t xml:space="preserve">Monthly figure closely followed gross payouts from contracts bought by other </w:t>
            </w:r>
          </w:p>
          <w:p w14:paraId="4139A244" w14:textId="77777777" w:rsidR="003F3C3C" w:rsidRDefault="00CD6B83">
            <w:pPr>
              <w:spacing w:after="0" w:line="259" w:lineRule="auto"/>
              <w:ind w:left="0" w:firstLine="0"/>
            </w:pPr>
            <w:r>
              <w:rPr>
                <w:rFonts w:ascii="Arial" w:eastAsia="Arial" w:hAnsi="Arial" w:cs="Arial"/>
                <w:sz w:val="19"/>
              </w:rPr>
              <w:t>wallets</w:t>
            </w:r>
            <w:r>
              <w:rPr>
                <w:rFonts w:ascii="Arial" w:eastAsia="Arial" w:hAnsi="Arial" w:cs="Arial"/>
                <w:color w:val="1F2937"/>
                <w:sz w:val="20"/>
              </w:rPr>
              <w:t xml:space="preserve"> </w:t>
            </w:r>
          </w:p>
        </w:tc>
        <w:tc>
          <w:tcPr>
            <w:tcW w:w="2101" w:type="dxa"/>
            <w:tcBorders>
              <w:top w:val="single" w:sz="4" w:space="0" w:color="1A1A1A"/>
              <w:left w:val="nil"/>
              <w:bottom w:val="single" w:sz="4" w:space="0" w:color="1A1A1A"/>
              <w:right w:val="nil"/>
            </w:tcBorders>
            <w:vAlign w:val="center"/>
          </w:tcPr>
          <w:p w14:paraId="5B12D6D4" w14:textId="77777777" w:rsidR="003F3C3C" w:rsidRDefault="00CD6B83">
            <w:pPr>
              <w:spacing w:after="0" w:line="259" w:lineRule="auto"/>
              <w:ind w:left="0" w:firstLine="0"/>
            </w:pPr>
            <w:r>
              <w:rPr>
                <w:rFonts w:ascii="Arial" w:eastAsia="Arial" w:hAnsi="Arial" w:cs="Arial"/>
                <w:sz w:val="19"/>
              </w:rPr>
              <w:t>Mechanism strongly supported; exact formula not recovered</w:t>
            </w:r>
            <w:r>
              <w:rPr>
                <w:rFonts w:ascii="Arial" w:eastAsia="Arial" w:hAnsi="Arial" w:cs="Arial"/>
                <w:color w:val="1F2937"/>
                <w:sz w:val="20"/>
              </w:rPr>
              <w:t xml:space="preserve"> </w:t>
            </w:r>
          </w:p>
        </w:tc>
      </w:tr>
      <w:tr w:rsidR="003F3C3C" w14:paraId="5F50A9BA" w14:textId="77777777">
        <w:trPr>
          <w:trHeight w:val="940"/>
        </w:trPr>
        <w:tc>
          <w:tcPr>
            <w:tcW w:w="1161" w:type="dxa"/>
            <w:tcBorders>
              <w:top w:val="single" w:sz="4" w:space="0" w:color="1A1A1A"/>
              <w:left w:val="nil"/>
              <w:bottom w:val="single" w:sz="4" w:space="0" w:color="1A1A1A"/>
              <w:right w:val="nil"/>
            </w:tcBorders>
            <w:vAlign w:val="center"/>
          </w:tcPr>
          <w:p w14:paraId="30C3EB05" w14:textId="77777777" w:rsidR="003F3C3C" w:rsidRDefault="00CD6B83">
            <w:pPr>
              <w:spacing w:after="0" w:line="259" w:lineRule="auto"/>
              <w:ind w:left="534" w:firstLine="0"/>
              <w:jc w:val="center"/>
            </w:pPr>
            <w:r>
              <w:rPr>
                <w:rFonts w:ascii="Arial" w:eastAsia="Arial" w:hAnsi="Arial" w:cs="Arial"/>
                <w:sz w:val="19"/>
              </w:rPr>
              <w:t>2</w:t>
            </w:r>
            <w:r>
              <w:rPr>
                <w:rFonts w:ascii="Arial" w:eastAsia="Arial" w:hAnsi="Arial" w:cs="Arial"/>
                <w:color w:val="1F2937"/>
                <w:sz w:val="20"/>
              </w:rPr>
              <w:t xml:space="preserve"> </w:t>
            </w:r>
          </w:p>
        </w:tc>
        <w:tc>
          <w:tcPr>
            <w:tcW w:w="1451" w:type="dxa"/>
            <w:tcBorders>
              <w:top w:val="single" w:sz="4" w:space="0" w:color="1A1A1A"/>
              <w:left w:val="nil"/>
              <w:bottom w:val="single" w:sz="4" w:space="0" w:color="1A1A1A"/>
              <w:right w:val="nil"/>
            </w:tcBorders>
            <w:vAlign w:val="center"/>
          </w:tcPr>
          <w:p w14:paraId="671BF55B" w14:textId="77777777" w:rsidR="003F3C3C" w:rsidRDefault="00CD6B83">
            <w:pPr>
              <w:spacing w:after="0" w:line="259" w:lineRule="auto"/>
              <w:ind w:left="0" w:firstLine="0"/>
            </w:pPr>
            <w:r>
              <w:rPr>
                <w:rFonts w:ascii="Arial" w:eastAsia="Arial" w:hAnsi="Arial" w:cs="Arial"/>
                <w:sz w:val="19"/>
              </w:rPr>
              <w:t>12 inactive wallets</w:t>
            </w:r>
            <w:r>
              <w:rPr>
                <w:rFonts w:ascii="Arial" w:eastAsia="Arial" w:hAnsi="Arial" w:cs="Arial"/>
                <w:color w:val="1F2937"/>
                <w:sz w:val="20"/>
              </w:rPr>
              <w:t xml:space="preserve"> </w:t>
            </w:r>
          </w:p>
        </w:tc>
        <w:tc>
          <w:tcPr>
            <w:tcW w:w="1901" w:type="dxa"/>
            <w:tcBorders>
              <w:top w:val="single" w:sz="4" w:space="0" w:color="1A1A1A"/>
              <w:left w:val="nil"/>
              <w:bottom w:val="single" w:sz="4" w:space="0" w:color="1A1A1A"/>
              <w:right w:val="nil"/>
            </w:tcBorders>
            <w:vAlign w:val="center"/>
          </w:tcPr>
          <w:p w14:paraId="36A09C65" w14:textId="77777777" w:rsidR="003F3C3C" w:rsidRDefault="00CD6B83">
            <w:pPr>
              <w:spacing w:after="0" w:line="259" w:lineRule="auto"/>
              <w:ind w:left="0" w:firstLine="0"/>
            </w:pPr>
            <w:r>
              <w:rPr>
                <w:rFonts w:ascii="Arial" w:eastAsia="Arial" w:hAnsi="Arial" w:cs="Arial"/>
                <w:sz w:val="19"/>
              </w:rPr>
              <w:t>One wallet at $5.87M; 11 others also positive</w:t>
            </w:r>
            <w:r>
              <w:rPr>
                <w:rFonts w:ascii="Arial" w:eastAsia="Arial" w:hAnsi="Arial" w:cs="Arial"/>
                <w:color w:val="1F2937"/>
                <w:sz w:val="20"/>
              </w:rPr>
              <w:t xml:space="preserve"> </w:t>
            </w:r>
          </w:p>
        </w:tc>
        <w:tc>
          <w:tcPr>
            <w:tcW w:w="2751" w:type="dxa"/>
            <w:tcBorders>
              <w:top w:val="single" w:sz="4" w:space="0" w:color="1A1A1A"/>
              <w:left w:val="nil"/>
              <w:bottom w:val="single" w:sz="4" w:space="0" w:color="1A1A1A"/>
              <w:right w:val="nil"/>
            </w:tcBorders>
            <w:vAlign w:val="center"/>
          </w:tcPr>
          <w:p w14:paraId="4A9C9D97" w14:textId="77777777" w:rsidR="003F3C3C" w:rsidRDefault="00CD6B83">
            <w:pPr>
              <w:spacing w:after="0" w:line="259" w:lineRule="auto"/>
              <w:ind w:left="0" w:firstLine="0"/>
            </w:pPr>
            <w:r>
              <w:rPr>
                <w:rFonts w:ascii="Arial" w:eastAsia="Arial" w:hAnsi="Arial" w:cs="Arial"/>
                <w:sz w:val="19"/>
              </w:rPr>
              <w:t xml:space="preserve">No comparable contract </w:t>
            </w:r>
          </w:p>
          <w:p w14:paraId="75568DF5" w14:textId="77777777" w:rsidR="003F3C3C" w:rsidRDefault="00CD6B83">
            <w:pPr>
              <w:spacing w:after="0" w:line="259" w:lineRule="auto"/>
              <w:ind w:left="0" w:firstLine="0"/>
            </w:pPr>
            <w:r>
              <w:rPr>
                <w:rFonts w:ascii="Arial" w:eastAsia="Arial" w:hAnsi="Arial" w:cs="Arial"/>
                <w:sz w:val="19"/>
              </w:rPr>
              <w:t>activity or alternative profit record found</w:t>
            </w:r>
            <w:r>
              <w:rPr>
                <w:rFonts w:ascii="Arial" w:eastAsia="Arial" w:hAnsi="Arial" w:cs="Arial"/>
                <w:color w:val="1F2937"/>
                <w:sz w:val="20"/>
              </w:rPr>
              <w:t xml:space="preserve"> </w:t>
            </w:r>
          </w:p>
        </w:tc>
        <w:tc>
          <w:tcPr>
            <w:tcW w:w="2101" w:type="dxa"/>
            <w:tcBorders>
              <w:top w:val="single" w:sz="4" w:space="0" w:color="1A1A1A"/>
              <w:left w:val="nil"/>
              <w:bottom w:val="single" w:sz="4" w:space="0" w:color="1A1A1A"/>
              <w:right w:val="nil"/>
            </w:tcBorders>
            <w:vAlign w:val="center"/>
          </w:tcPr>
          <w:p w14:paraId="1490E39F" w14:textId="77777777" w:rsidR="003F3C3C" w:rsidRDefault="00CD6B83">
            <w:pPr>
              <w:spacing w:after="0" w:line="259" w:lineRule="auto"/>
              <w:ind w:left="0" w:firstLine="0"/>
            </w:pPr>
            <w:r>
              <w:rPr>
                <w:rFonts w:ascii="Arial" w:eastAsia="Arial" w:hAnsi="Arial" w:cs="Arial"/>
                <w:sz w:val="19"/>
              </w:rPr>
              <w:t xml:space="preserve">*Appearance </w:t>
            </w:r>
          </w:p>
          <w:p w14:paraId="157908BB" w14:textId="77777777" w:rsidR="003F3C3C" w:rsidRDefault="00CD6B83">
            <w:pPr>
              <w:spacing w:after="0" w:line="259" w:lineRule="auto"/>
              <w:ind w:left="0" w:firstLine="0"/>
            </w:pPr>
            <w:r>
              <w:rPr>
                <w:rFonts w:ascii="Arial" w:eastAsia="Arial" w:hAnsi="Arial" w:cs="Arial"/>
                <w:sz w:val="19"/>
              </w:rPr>
              <w:t>established; origin of figures unresolved</w:t>
            </w:r>
            <w:r>
              <w:rPr>
                <w:rFonts w:ascii="Arial" w:eastAsia="Arial" w:hAnsi="Arial" w:cs="Arial"/>
                <w:color w:val="1F2937"/>
                <w:sz w:val="20"/>
              </w:rPr>
              <w:t xml:space="preserve"> </w:t>
            </w:r>
          </w:p>
        </w:tc>
      </w:tr>
      <w:tr w:rsidR="003F3C3C" w14:paraId="21FADC6E" w14:textId="77777777">
        <w:trPr>
          <w:trHeight w:val="1175"/>
        </w:trPr>
        <w:tc>
          <w:tcPr>
            <w:tcW w:w="1161" w:type="dxa"/>
            <w:tcBorders>
              <w:top w:val="single" w:sz="4" w:space="0" w:color="1A1A1A"/>
              <w:left w:val="nil"/>
              <w:bottom w:val="single" w:sz="4" w:space="0" w:color="1A1A1A"/>
              <w:right w:val="nil"/>
            </w:tcBorders>
            <w:vAlign w:val="center"/>
          </w:tcPr>
          <w:p w14:paraId="348C1C76" w14:textId="77777777" w:rsidR="003F3C3C" w:rsidRDefault="00CD6B83">
            <w:pPr>
              <w:spacing w:after="0" w:line="259" w:lineRule="auto"/>
              <w:ind w:left="534" w:firstLine="0"/>
              <w:jc w:val="center"/>
            </w:pPr>
            <w:r>
              <w:rPr>
                <w:rFonts w:ascii="Arial" w:eastAsia="Arial" w:hAnsi="Arial" w:cs="Arial"/>
                <w:sz w:val="19"/>
              </w:rPr>
              <w:t>3</w:t>
            </w:r>
            <w:r>
              <w:rPr>
                <w:rFonts w:ascii="Arial" w:eastAsia="Arial" w:hAnsi="Arial" w:cs="Arial"/>
                <w:color w:val="1F2937"/>
                <w:sz w:val="20"/>
              </w:rPr>
              <w:t xml:space="preserve"> </w:t>
            </w:r>
          </w:p>
        </w:tc>
        <w:tc>
          <w:tcPr>
            <w:tcW w:w="1451" w:type="dxa"/>
            <w:tcBorders>
              <w:top w:val="single" w:sz="4" w:space="0" w:color="1A1A1A"/>
              <w:left w:val="nil"/>
              <w:bottom w:val="single" w:sz="4" w:space="0" w:color="1A1A1A"/>
              <w:right w:val="nil"/>
            </w:tcBorders>
            <w:vAlign w:val="center"/>
          </w:tcPr>
          <w:p w14:paraId="7E2CB72D" w14:textId="77777777" w:rsidR="003F3C3C" w:rsidRDefault="00CD6B83">
            <w:pPr>
              <w:spacing w:after="0" w:line="259" w:lineRule="auto"/>
              <w:ind w:left="0" w:firstLine="0"/>
            </w:pPr>
            <w:r>
              <w:rPr>
                <w:rFonts w:ascii="Arial" w:eastAsia="Arial" w:hAnsi="Arial" w:cs="Arial"/>
                <w:sz w:val="19"/>
              </w:rPr>
              <w:t>13 dormant accounts</w:t>
            </w:r>
            <w:r>
              <w:rPr>
                <w:rFonts w:ascii="Arial" w:eastAsia="Arial" w:hAnsi="Arial" w:cs="Arial"/>
                <w:color w:val="1F2937"/>
                <w:sz w:val="20"/>
              </w:rPr>
              <w:t xml:space="preserve"> </w:t>
            </w:r>
          </w:p>
        </w:tc>
        <w:tc>
          <w:tcPr>
            <w:tcW w:w="1901" w:type="dxa"/>
            <w:tcBorders>
              <w:top w:val="single" w:sz="4" w:space="0" w:color="1A1A1A"/>
              <w:left w:val="nil"/>
              <w:bottom w:val="single" w:sz="4" w:space="0" w:color="1A1A1A"/>
              <w:right w:val="nil"/>
            </w:tcBorders>
            <w:vAlign w:val="center"/>
          </w:tcPr>
          <w:p w14:paraId="147C3129" w14:textId="77777777" w:rsidR="003F3C3C" w:rsidRDefault="00CD6B83">
            <w:pPr>
              <w:spacing w:after="0" w:line="259" w:lineRule="auto"/>
              <w:ind w:left="0" w:right="147" w:firstLine="0"/>
            </w:pPr>
            <w:r>
              <w:rPr>
                <w:rFonts w:ascii="Arial" w:eastAsia="Arial" w:hAnsi="Arial" w:cs="Arial"/>
                <w:sz w:val="19"/>
              </w:rPr>
              <w:t>Old values repeatedly appeared as recent profit</w:t>
            </w:r>
            <w:r>
              <w:rPr>
                <w:rFonts w:ascii="Arial" w:eastAsia="Arial" w:hAnsi="Arial" w:cs="Arial"/>
                <w:color w:val="1F2937"/>
                <w:sz w:val="20"/>
              </w:rPr>
              <w:t xml:space="preserve"> </w:t>
            </w:r>
          </w:p>
        </w:tc>
        <w:tc>
          <w:tcPr>
            <w:tcW w:w="2751" w:type="dxa"/>
            <w:tcBorders>
              <w:top w:val="single" w:sz="4" w:space="0" w:color="1A1A1A"/>
              <w:left w:val="nil"/>
              <w:bottom w:val="single" w:sz="4" w:space="0" w:color="1A1A1A"/>
              <w:right w:val="nil"/>
            </w:tcBorders>
            <w:vAlign w:val="center"/>
          </w:tcPr>
          <w:p w14:paraId="7B76B673" w14:textId="77777777" w:rsidR="003F3C3C" w:rsidRDefault="00CD6B83">
            <w:pPr>
              <w:spacing w:after="0" w:line="258" w:lineRule="auto"/>
              <w:ind w:left="0" w:firstLine="0"/>
            </w:pPr>
            <w:r>
              <w:rPr>
                <w:rFonts w:ascii="Arial" w:eastAsia="Arial" w:hAnsi="Arial" w:cs="Arial"/>
                <w:sz w:val="19"/>
              </w:rPr>
              <w:t xml:space="preserve">Fixed historical amounts reentered </w:t>
            </w:r>
          </w:p>
          <w:p w14:paraId="144261B3" w14:textId="77777777" w:rsidR="003F3C3C" w:rsidRDefault="00CD6B83">
            <w:pPr>
              <w:spacing w:after="0" w:line="259" w:lineRule="auto"/>
              <w:ind w:left="0" w:firstLine="0"/>
            </w:pPr>
            <w:r>
              <w:rPr>
                <w:rFonts w:ascii="Arial" w:eastAsia="Arial" w:hAnsi="Arial" w:cs="Arial"/>
                <w:sz w:val="19"/>
              </w:rPr>
              <w:t>daily/monthly/category rankings</w:t>
            </w:r>
            <w:r>
              <w:rPr>
                <w:rFonts w:ascii="Arial" w:eastAsia="Arial" w:hAnsi="Arial" w:cs="Arial"/>
                <w:color w:val="1F2937"/>
                <w:sz w:val="20"/>
              </w:rPr>
              <w:t xml:space="preserve"> </w:t>
            </w:r>
          </w:p>
        </w:tc>
        <w:tc>
          <w:tcPr>
            <w:tcW w:w="2101" w:type="dxa"/>
            <w:tcBorders>
              <w:top w:val="single" w:sz="4" w:space="0" w:color="1A1A1A"/>
              <w:left w:val="nil"/>
              <w:bottom w:val="single" w:sz="4" w:space="0" w:color="1A1A1A"/>
              <w:right w:val="nil"/>
            </w:tcBorders>
            <w:vAlign w:val="center"/>
          </w:tcPr>
          <w:p w14:paraId="51AAD6AF" w14:textId="77777777" w:rsidR="003F3C3C" w:rsidRDefault="00CD6B83">
            <w:pPr>
              <w:spacing w:after="0" w:line="259" w:lineRule="auto"/>
              <w:ind w:left="0" w:right="267" w:firstLine="0"/>
              <w:jc w:val="both"/>
            </w:pPr>
            <w:r>
              <w:rPr>
                <w:rFonts w:ascii="Arial" w:eastAsia="Arial" w:hAnsi="Arial" w:cs="Arial"/>
                <w:sz w:val="19"/>
              </w:rPr>
              <w:t>Historical amounts traced; intermittent inclusion unresolved</w:t>
            </w:r>
            <w:r>
              <w:rPr>
                <w:rFonts w:ascii="Arial" w:eastAsia="Arial" w:hAnsi="Arial" w:cs="Arial"/>
                <w:color w:val="1F2937"/>
                <w:sz w:val="20"/>
              </w:rPr>
              <w:t xml:space="preserve"> </w:t>
            </w:r>
          </w:p>
        </w:tc>
      </w:tr>
      <w:tr w:rsidR="003F3C3C" w14:paraId="2FB03094" w14:textId="77777777">
        <w:trPr>
          <w:trHeight w:val="940"/>
        </w:trPr>
        <w:tc>
          <w:tcPr>
            <w:tcW w:w="1161" w:type="dxa"/>
            <w:tcBorders>
              <w:top w:val="single" w:sz="4" w:space="0" w:color="1A1A1A"/>
              <w:left w:val="nil"/>
              <w:bottom w:val="single" w:sz="4" w:space="0" w:color="1A1A1A"/>
              <w:right w:val="nil"/>
            </w:tcBorders>
            <w:vAlign w:val="center"/>
          </w:tcPr>
          <w:p w14:paraId="2FE72E2C" w14:textId="77777777" w:rsidR="003F3C3C" w:rsidRDefault="00CD6B83">
            <w:pPr>
              <w:spacing w:after="0" w:line="259" w:lineRule="auto"/>
              <w:ind w:left="534" w:firstLine="0"/>
              <w:jc w:val="center"/>
            </w:pPr>
            <w:r>
              <w:rPr>
                <w:rFonts w:ascii="Arial" w:eastAsia="Arial" w:hAnsi="Arial" w:cs="Arial"/>
                <w:sz w:val="19"/>
              </w:rPr>
              <w:t>4</w:t>
            </w:r>
            <w:r>
              <w:rPr>
                <w:rFonts w:ascii="Arial" w:eastAsia="Arial" w:hAnsi="Arial" w:cs="Arial"/>
                <w:color w:val="1F2937"/>
                <w:sz w:val="20"/>
              </w:rPr>
              <w:t xml:space="preserve"> </w:t>
            </w:r>
          </w:p>
        </w:tc>
        <w:tc>
          <w:tcPr>
            <w:tcW w:w="1451" w:type="dxa"/>
            <w:tcBorders>
              <w:top w:val="single" w:sz="4" w:space="0" w:color="1A1A1A"/>
              <w:left w:val="nil"/>
              <w:bottom w:val="single" w:sz="4" w:space="0" w:color="1A1A1A"/>
              <w:right w:val="nil"/>
            </w:tcBorders>
            <w:vAlign w:val="center"/>
          </w:tcPr>
          <w:p w14:paraId="52E30907" w14:textId="77777777" w:rsidR="003F3C3C" w:rsidRDefault="00CD6B83">
            <w:pPr>
              <w:spacing w:after="0" w:line="259" w:lineRule="auto"/>
              <w:ind w:left="0" w:firstLine="0"/>
            </w:pPr>
            <w:r>
              <w:rPr>
                <w:rFonts w:ascii="Arial" w:eastAsia="Arial" w:hAnsi="Arial" w:cs="Arial"/>
                <w:sz w:val="19"/>
              </w:rPr>
              <w:t>Gravia-linked account</w:t>
            </w:r>
            <w:r>
              <w:rPr>
                <w:rFonts w:ascii="Arial" w:eastAsia="Arial" w:hAnsi="Arial" w:cs="Arial"/>
                <w:color w:val="1F2937"/>
                <w:sz w:val="20"/>
              </w:rPr>
              <w:t xml:space="preserve"> </w:t>
            </w:r>
          </w:p>
        </w:tc>
        <w:tc>
          <w:tcPr>
            <w:tcW w:w="1901" w:type="dxa"/>
            <w:tcBorders>
              <w:top w:val="single" w:sz="4" w:space="0" w:color="1A1A1A"/>
              <w:left w:val="nil"/>
              <w:bottom w:val="single" w:sz="4" w:space="0" w:color="1A1A1A"/>
              <w:right w:val="nil"/>
            </w:tcBorders>
            <w:vAlign w:val="center"/>
          </w:tcPr>
          <w:p w14:paraId="6ADE307A" w14:textId="77777777" w:rsidR="003F3C3C" w:rsidRDefault="00CD6B83">
            <w:pPr>
              <w:spacing w:after="0" w:line="259" w:lineRule="auto"/>
              <w:ind w:left="0" w:right="10" w:firstLine="0"/>
            </w:pPr>
            <w:r>
              <w:rPr>
                <w:rFonts w:ascii="Arial" w:eastAsia="Arial" w:hAnsi="Arial" w:cs="Arial"/>
                <w:sz w:val="19"/>
              </w:rPr>
              <w:t>$980,352.94 monthly profit</w:t>
            </w:r>
            <w:r>
              <w:rPr>
                <w:rFonts w:ascii="Arial" w:eastAsia="Arial" w:hAnsi="Arial" w:cs="Arial"/>
                <w:color w:val="1F2937"/>
                <w:sz w:val="20"/>
              </w:rPr>
              <w:t xml:space="preserve"> </w:t>
            </w:r>
          </w:p>
        </w:tc>
        <w:tc>
          <w:tcPr>
            <w:tcW w:w="2751" w:type="dxa"/>
            <w:tcBorders>
              <w:top w:val="single" w:sz="4" w:space="0" w:color="1A1A1A"/>
              <w:left w:val="nil"/>
              <w:bottom w:val="single" w:sz="4" w:space="0" w:color="1A1A1A"/>
              <w:right w:val="nil"/>
            </w:tcBorders>
            <w:vAlign w:val="center"/>
          </w:tcPr>
          <w:p w14:paraId="68F6977A" w14:textId="77777777" w:rsidR="003F3C3C" w:rsidRDefault="00CD6B83">
            <w:pPr>
              <w:spacing w:after="0" w:line="259" w:lineRule="auto"/>
              <w:ind w:left="0" w:firstLine="0"/>
            </w:pPr>
            <w:r>
              <w:rPr>
                <w:rFonts w:ascii="Arial" w:eastAsia="Arial" w:hAnsi="Arial" w:cs="Arial"/>
                <w:sz w:val="19"/>
              </w:rPr>
              <w:t xml:space="preserve">Trade-and-payout </w:t>
            </w:r>
          </w:p>
          <w:p w14:paraId="571E1788" w14:textId="77777777" w:rsidR="003F3C3C" w:rsidRDefault="00CD6B83">
            <w:pPr>
              <w:spacing w:after="0" w:line="259" w:lineRule="auto"/>
              <w:ind w:left="0" w:firstLine="0"/>
            </w:pPr>
            <w:r>
              <w:rPr>
                <w:rFonts w:ascii="Arial" w:eastAsia="Arial" w:hAnsi="Arial" w:cs="Arial"/>
                <w:sz w:val="19"/>
              </w:rPr>
              <w:t>reconstruction showed about $5,268 loss</w:t>
            </w:r>
            <w:r>
              <w:rPr>
                <w:rFonts w:ascii="Arial" w:eastAsia="Arial" w:hAnsi="Arial" w:cs="Arial"/>
                <w:color w:val="1F2937"/>
                <w:sz w:val="20"/>
              </w:rPr>
              <w:t xml:space="preserve"> </w:t>
            </w:r>
          </w:p>
        </w:tc>
        <w:tc>
          <w:tcPr>
            <w:tcW w:w="2101" w:type="dxa"/>
            <w:tcBorders>
              <w:top w:val="single" w:sz="4" w:space="0" w:color="1A1A1A"/>
              <w:left w:val="nil"/>
              <w:bottom w:val="single" w:sz="4" w:space="0" w:color="1A1A1A"/>
              <w:right w:val="nil"/>
            </w:tcBorders>
            <w:vAlign w:val="center"/>
          </w:tcPr>
          <w:p w14:paraId="3879B20B" w14:textId="77777777" w:rsidR="003F3C3C" w:rsidRDefault="00CD6B83">
            <w:pPr>
              <w:spacing w:after="0" w:line="259" w:lineRule="auto"/>
              <w:ind w:left="0" w:firstLine="0"/>
            </w:pPr>
            <w:r>
              <w:rPr>
                <w:rFonts w:ascii="Arial" w:eastAsia="Arial" w:hAnsi="Arial" w:cs="Arial"/>
                <w:sz w:val="19"/>
              </w:rPr>
              <w:t>Unsupported credit established in sampled window</w:t>
            </w:r>
            <w:r>
              <w:rPr>
                <w:rFonts w:ascii="Arial" w:eastAsia="Arial" w:hAnsi="Arial" w:cs="Arial"/>
                <w:color w:val="1F2937"/>
                <w:sz w:val="20"/>
              </w:rPr>
              <w:t xml:space="preserve"> </w:t>
            </w:r>
          </w:p>
        </w:tc>
      </w:tr>
      <w:tr w:rsidR="003F3C3C" w14:paraId="5C0B5FFA" w14:textId="77777777">
        <w:trPr>
          <w:trHeight w:val="940"/>
        </w:trPr>
        <w:tc>
          <w:tcPr>
            <w:tcW w:w="1161" w:type="dxa"/>
            <w:tcBorders>
              <w:top w:val="single" w:sz="4" w:space="0" w:color="1A1A1A"/>
              <w:left w:val="nil"/>
              <w:bottom w:val="single" w:sz="4" w:space="0" w:color="1A1A1A"/>
              <w:right w:val="nil"/>
            </w:tcBorders>
            <w:vAlign w:val="center"/>
          </w:tcPr>
          <w:p w14:paraId="15447CC7" w14:textId="77777777" w:rsidR="003F3C3C" w:rsidRDefault="00CD6B83">
            <w:pPr>
              <w:spacing w:after="0" w:line="259" w:lineRule="auto"/>
              <w:ind w:left="534" w:firstLine="0"/>
              <w:jc w:val="center"/>
            </w:pPr>
            <w:r>
              <w:rPr>
                <w:rFonts w:ascii="Arial" w:eastAsia="Arial" w:hAnsi="Arial" w:cs="Arial"/>
                <w:sz w:val="19"/>
              </w:rPr>
              <w:t>5</w:t>
            </w:r>
            <w:r>
              <w:rPr>
                <w:rFonts w:ascii="Arial" w:eastAsia="Arial" w:hAnsi="Arial" w:cs="Arial"/>
                <w:color w:val="1F2937"/>
                <w:sz w:val="20"/>
              </w:rPr>
              <w:t xml:space="preserve"> </w:t>
            </w:r>
          </w:p>
        </w:tc>
        <w:tc>
          <w:tcPr>
            <w:tcW w:w="1451" w:type="dxa"/>
            <w:tcBorders>
              <w:top w:val="single" w:sz="4" w:space="0" w:color="1A1A1A"/>
              <w:left w:val="nil"/>
              <w:bottom w:val="single" w:sz="4" w:space="0" w:color="1A1A1A"/>
              <w:right w:val="nil"/>
            </w:tcBorders>
            <w:vAlign w:val="center"/>
          </w:tcPr>
          <w:p w14:paraId="7F739E0E" w14:textId="77777777" w:rsidR="003F3C3C" w:rsidRDefault="00CD6B83">
            <w:pPr>
              <w:spacing w:after="0" w:line="259" w:lineRule="auto"/>
              <w:ind w:left="0" w:firstLine="0"/>
            </w:pPr>
            <w:r>
              <w:rPr>
                <w:rFonts w:ascii="Arial" w:eastAsia="Arial" w:hAnsi="Arial" w:cs="Arial"/>
                <w:sz w:val="19"/>
              </w:rPr>
              <w:t>June daily leaderboard</w:t>
            </w:r>
            <w:r>
              <w:rPr>
                <w:rFonts w:ascii="Arial" w:eastAsia="Arial" w:hAnsi="Arial" w:cs="Arial"/>
                <w:color w:val="1F2937"/>
                <w:sz w:val="20"/>
              </w:rPr>
              <w:t xml:space="preserve"> </w:t>
            </w:r>
          </w:p>
        </w:tc>
        <w:tc>
          <w:tcPr>
            <w:tcW w:w="1901" w:type="dxa"/>
            <w:tcBorders>
              <w:top w:val="single" w:sz="4" w:space="0" w:color="1A1A1A"/>
              <w:left w:val="nil"/>
              <w:bottom w:val="single" w:sz="4" w:space="0" w:color="1A1A1A"/>
              <w:right w:val="nil"/>
            </w:tcBorders>
            <w:vAlign w:val="center"/>
          </w:tcPr>
          <w:p w14:paraId="11836F08" w14:textId="77777777" w:rsidR="003F3C3C" w:rsidRDefault="00CD6B83">
            <w:pPr>
              <w:spacing w:after="0" w:line="259" w:lineRule="auto"/>
              <w:ind w:left="0" w:firstLine="0"/>
              <w:jc w:val="both"/>
            </w:pPr>
            <w:r>
              <w:rPr>
                <w:rFonts w:ascii="Arial" w:eastAsia="Arial" w:hAnsi="Arial" w:cs="Arial"/>
                <w:sz w:val="19"/>
              </w:rPr>
              <w:t>$3.99M daily profit for one account</w:t>
            </w:r>
            <w:r>
              <w:rPr>
                <w:rFonts w:ascii="Arial" w:eastAsia="Arial" w:hAnsi="Arial" w:cs="Arial"/>
                <w:color w:val="1F2937"/>
                <w:sz w:val="20"/>
              </w:rPr>
              <w:t xml:space="preserve"> </w:t>
            </w:r>
          </w:p>
        </w:tc>
        <w:tc>
          <w:tcPr>
            <w:tcW w:w="2751" w:type="dxa"/>
            <w:tcBorders>
              <w:top w:val="single" w:sz="4" w:space="0" w:color="1A1A1A"/>
              <w:left w:val="nil"/>
              <w:bottom w:val="single" w:sz="4" w:space="0" w:color="1A1A1A"/>
              <w:right w:val="nil"/>
            </w:tcBorders>
            <w:vAlign w:val="center"/>
          </w:tcPr>
          <w:p w14:paraId="7A4747C4" w14:textId="77777777" w:rsidR="003F3C3C" w:rsidRDefault="00CD6B83">
            <w:pPr>
              <w:spacing w:after="0" w:line="259" w:lineRule="auto"/>
              <w:ind w:left="0" w:firstLine="0"/>
            </w:pPr>
            <w:r>
              <w:rPr>
                <w:rFonts w:ascii="Arial" w:eastAsia="Arial" w:hAnsi="Arial" w:cs="Arial"/>
                <w:sz w:val="19"/>
              </w:rPr>
              <w:t>Lifetime profit appeared as daily profit when midnight baseline was missing</w:t>
            </w:r>
            <w:r>
              <w:rPr>
                <w:rFonts w:ascii="Arial" w:eastAsia="Arial" w:hAnsi="Arial" w:cs="Arial"/>
                <w:color w:val="1F2937"/>
                <w:sz w:val="20"/>
              </w:rPr>
              <w:t xml:space="preserve"> </w:t>
            </w:r>
          </w:p>
        </w:tc>
        <w:tc>
          <w:tcPr>
            <w:tcW w:w="2101" w:type="dxa"/>
            <w:tcBorders>
              <w:top w:val="single" w:sz="4" w:space="0" w:color="1A1A1A"/>
              <w:left w:val="nil"/>
              <w:bottom w:val="single" w:sz="4" w:space="0" w:color="1A1A1A"/>
              <w:right w:val="nil"/>
            </w:tcBorders>
            <w:vAlign w:val="center"/>
          </w:tcPr>
          <w:p w14:paraId="1B991D72" w14:textId="77777777" w:rsidR="003F3C3C" w:rsidRDefault="00CD6B83">
            <w:pPr>
              <w:spacing w:after="0" w:line="259" w:lineRule="auto"/>
              <w:ind w:left="0" w:firstLine="0"/>
            </w:pPr>
            <w:r>
              <w:rPr>
                <w:rFonts w:ascii="Arial" w:eastAsia="Arial" w:hAnsi="Arial" w:cs="Arial"/>
                <w:sz w:val="19"/>
              </w:rPr>
              <w:t>Mechanism strongly supported by control comparison</w:t>
            </w:r>
            <w:r>
              <w:rPr>
                <w:rFonts w:ascii="Arial" w:eastAsia="Arial" w:hAnsi="Arial" w:cs="Arial"/>
                <w:color w:val="1F2937"/>
                <w:sz w:val="20"/>
              </w:rPr>
              <w:t xml:space="preserve"> </w:t>
            </w:r>
          </w:p>
        </w:tc>
      </w:tr>
    </w:tbl>
    <w:p w14:paraId="3B6DD130" w14:textId="77777777" w:rsidR="003F3C3C" w:rsidRDefault="00CD6B83">
      <w:pPr>
        <w:pStyle w:val="Heading2"/>
        <w:ind w:left="-5"/>
      </w:pPr>
      <w:r>
        <w:t>THE INSTITUTIONAL QUESTION</w:t>
      </w:r>
      <w:r>
        <w:rPr>
          <w:rFonts w:ascii="Calibri" w:eastAsia="Calibri" w:hAnsi="Calibri" w:cs="Calibri"/>
          <w:color w:val="1D697D"/>
          <w:sz w:val="25"/>
        </w:rPr>
        <w:t xml:space="preserve"> </w:t>
      </w:r>
    </w:p>
    <w:p w14:paraId="7EFEF055" w14:textId="77777777" w:rsidR="003F3C3C" w:rsidRDefault="00CD6B83">
      <w:pPr>
        <w:spacing w:after="473"/>
        <w:ind w:left="-5" w:right="4"/>
      </w:pPr>
      <w:r>
        <w:t>The issue is not whether contract trading occurred. The issue is whether a public ranking field labeled as profit measures economic profit for the stated period, and whether outside users can tell when it does not.</w:t>
      </w:r>
      <w:r>
        <w:rPr>
          <w:rFonts w:ascii="Arial" w:eastAsia="Arial" w:hAnsi="Arial" w:cs="Arial"/>
          <w:color w:val="1F2937"/>
          <w:sz w:val="20"/>
        </w:rPr>
        <w:t xml:space="preserve"> </w:t>
      </w:r>
    </w:p>
    <w:p w14:paraId="1556DB2D" w14:textId="77777777" w:rsidR="003F3C3C" w:rsidRDefault="00CD6B83">
      <w:pPr>
        <w:pStyle w:val="Heading1"/>
        <w:ind w:left="-5"/>
      </w:pPr>
      <w:r>
        <w:t>Case 1: Papeasy - the $6.1 million monthly winner</w:t>
      </w:r>
      <w:r>
        <w:rPr>
          <w:rFonts w:ascii="Calibri" w:eastAsia="Calibri" w:hAnsi="Calibri" w:cs="Calibri"/>
          <w:color w:val="1F2937"/>
          <w:sz w:val="34"/>
        </w:rPr>
        <w:t xml:space="preserve"> </w:t>
      </w:r>
    </w:p>
    <w:p w14:paraId="40230F36" w14:textId="77777777" w:rsidR="003F3C3C" w:rsidRDefault="00CD6B83">
      <w:pPr>
        <w:spacing w:after="234" w:line="259" w:lineRule="auto"/>
        <w:ind w:left="-30" w:right="-40" w:firstLine="0"/>
      </w:pPr>
      <w:r>
        <w:rPr>
          <w:rFonts w:ascii="Calibri" w:eastAsia="Calibri" w:hAnsi="Calibri" w:cs="Calibri"/>
          <w:noProof/>
          <w:color w:val="000000"/>
        </w:rPr>
        <mc:AlternateContent>
          <mc:Choice Requires="wpg">
            <w:drawing>
              <wp:inline distT="0" distB="0" distL="0" distR="0" wp14:anchorId="37FA51B7" wp14:editId="191DAA42">
                <wp:extent cx="5984241" cy="9525"/>
                <wp:effectExtent l="0" t="0" r="0" b="0"/>
                <wp:docPr id="14816" name="Group 14816"/>
                <wp:cNvGraphicFramePr/>
                <a:graphic xmlns:a="http://schemas.openxmlformats.org/drawingml/2006/main">
                  <a:graphicData uri="http://schemas.microsoft.com/office/word/2010/wordprocessingGroup">
                    <wpg:wgp>
                      <wpg:cNvGrpSpPr/>
                      <wpg:grpSpPr>
                        <a:xfrm>
                          <a:off x="0" y="0"/>
                          <a:ext cx="5984241" cy="9525"/>
                          <a:chOff x="0" y="0"/>
                          <a:chExt cx="5984241" cy="9525"/>
                        </a:xfrm>
                      </wpg:grpSpPr>
                      <wps:wsp>
                        <wps:cNvPr id="15481" name="Shape 15481"/>
                        <wps:cNvSpPr/>
                        <wps:spPr>
                          <a:xfrm>
                            <a:off x="0" y="0"/>
                            <a:ext cx="5984241" cy="9525"/>
                          </a:xfrm>
                          <a:custGeom>
                            <a:avLst/>
                            <a:gdLst/>
                            <a:ahLst/>
                            <a:cxnLst/>
                            <a:rect l="0" t="0" r="0" b="0"/>
                            <a:pathLst>
                              <a:path w="5984241" h="9525">
                                <a:moveTo>
                                  <a:pt x="0" y="0"/>
                                </a:moveTo>
                                <a:lnTo>
                                  <a:pt x="5984241" y="0"/>
                                </a:lnTo>
                                <a:lnTo>
                                  <a:pt x="5984241" y="9525"/>
                                </a:lnTo>
                                <a:lnTo>
                                  <a:pt x="0" y="9525"/>
                                </a:lnTo>
                                <a:lnTo>
                                  <a:pt x="0" y="0"/>
                                </a:lnTo>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inline>
            </w:drawing>
          </mc:Choice>
          <mc:Fallback xmlns:a="http://schemas.openxmlformats.org/drawingml/2006/main">
            <w:pict>
              <v:group id="Group 14816" style="width:471.2pt;height:0.75pt;mso-position-horizontal-relative:char;mso-position-vertical-relative:line" coordsize="59842,95">
                <v:shape id="Shape 15482" style="position:absolute;width:59842;height:95;left:0;top:0;" coordsize="5984241,9525" path="m0,0l5984241,0l5984241,9525l0,9525l0,0">
                  <v:stroke weight="0pt" endcap="flat" joinstyle="miter" miterlimit="10" on="false" color="#000000" opacity="0"/>
                  <v:fill on="true" color="#1a1a1a"/>
                </v:shape>
              </v:group>
            </w:pict>
          </mc:Fallback>
        </mc:AlternateContent>
      </w:r>
    </w:p>
    <w:p w14:paraId="1C0B577F" w14:textId="77777777" w:rsidR="003F3C3C" w:rsidRDefault="00CD6B83">
      <w:pPr>
        <w:spacing w:after="239"/>
        <w:ind w:left="-5" w:right="4"/>
      </w:pPr>
      <w:r>
        <w:t>On September 18, Papeasy appeared at No. 1 on Polymarket's monthly profit leaderboard with $6,127,169.04 in profit and $0 of trading volume. The zero-</w:t>
      </w:r>
      <w:r>
        <w:t>volume display prompted a reconstruction of how the ranked wallet was receiving contracts and cash.</w:t>
      </w:r>
      <w:r>
        <w:rPr>
          <w:rFonts w:ascii="Arial" w:eastAsia="Arial" w:hAnsi="Arial" w:cs="Arial"/>
          <w:color w:val="1F2937"/>
          <w:sz w:val="20"/>
        </w:rPr>
        <w:t xml:space="preserve"> </w:t>
      </w:r>
    </w:p>
    <w:p w14:paraId="7A28648C" w14:textId="77777777" w:rsidR="003F3C3C" w:rsidRDefault="00CD6B83">
      <w:pPr>
        <w:pStyle w:val="Heading2"/>
        <w:ind w:left="-5"/>
      </w:pPr>
      <w:r>
        <w:t>The contracts were usually bought elsewhere</w:t>
      </w:r>
      <w:r>
        <w:rPr>
          <w:rFonts w:ascii="Calibri" w:eastAsia="Calibri" w:hAnsi="Calibri" w:cs="Calibri"/>
          <w:color w:val="1D697D"/>
          <w:sz w:val="25"/>
        </w:rPr>
        <w:t xml:space="preserve"> </w:t>
      </w:r>
    </w:p>
    <w:p w14:paraId="7AA63EA6" w14:textId="77777777" w:rsidR="003F3C3C" w:rsidRDefault="00CD6B83">
      <w:pPr>
        <w:ind w:left="-5" w:right="4"/>
      </w:pPr>
      <w:r>
        <w:t>Over an 18-day window, 194 wallets supplied prediction contracts to the ranked address. Rather than buying those contracts through the exchange, the collecting wallet generally received them directly from the suppliers using permissions those wallets had granted. These supplier transfers accounted for 99.87% of the collecting wallet's incoming contract transfers.</w:t>
      </w:r>
      <w:r>
        <w:rPr>
          <w:rFonts w:ascii="Arial" w:eastAsia="Arial" w:hAnsi="Arial" w:cs="Arial"/>
          <w:color w:val="1F2937"/>
          <w:sz w:val="20"/>
        </w:rPr>
        <w:t xml:space="preserve"> </w:t>
      </w:r>
    </w:p>
    <w:p w14:paraId="56BE66CE" w14:textId="77777777" w:rsidR="003F3C3C" w:rsidRDefault="00CD6B83">
      <w:pPr>
        <w:spacing w:after="0"/>
        <w:ind w:left="-5" w:right="4"/>
      </w:pPr>
      <w:r>
        <w:lastRenderedPageBreak/>
        <w:t>The collecting wallet received about 7.4 million shares and collected approximately $3.99 million in payouts during that 18-day window. The average payout was therefore about 54 cents per share received. That is not a profit estimate, because the purchase costs of winning and losing contracts remained with the supplying wallets.</w:t>
      </w:r>
      <w:r>
        <w:rPr>
          <w:rFonts w:ascii="Arial" w:eastAsia="Arial" w:hAnsi="Arial" w:cs="Arial"/>
          <w:color w:val="1F2937"/>
          <w:sz w:val="20"/>
        </w:rPr>
        <w:t xml:space="preserve"> </w:t>
      </w:r>
    </w:p>
    <w:tbl>
      <w:tblPr>
        <w:tblStyle w:val="TableGrid"/>
        <w:tblW w:w="9364" w:type="dxa"/>
        <w:tblInd w:w="0" w:type="dxa"/>
        <w:tblCellMar>
          <w:top w:w="0" w:type="dxa"/>
          <w:left w:w="0" w:type="dxa"/>
          <w:bottom w:w="0" w:type="dxa"/>
          <w:right w:w="115" w:type="dxa"/>
        </w:tblCellMar>
        <w:tblLook w:val="04A0" w:firstRow="1" w:lastRow="0" w:firstColumn="1" w:lastColumn="0" w:noHBand="0" w:noVBand="1"/>
      </w:tblPr>
      <w:tblGrid>
        <w:gridCol w:w="2661"/>
        <w:gridCol w:w="6703"/>
      </w:tblGrid>
      <w:tr w:rsidR="003F3C3C" w14:paraId="589876D7" w14:textId="77777777">
        <w:trPr>
          <w:trHeight w:val="463"/>
        </w:trPr>
        <w:tc>
          <w:tcPr>
            <w:tcW w:w="2661" w:type="dxa"/>
            <w:tcBorders>
              <w:top w:val="single" w:sz="4" w:space="0" w:color="1A1A1A"/>
              <w:left w:val="nil"/>
              <w:bottom w:val="single" w:sz="4" w:space="0" w:color="1A1A1A"/>
              <w:right w:val="nil"/>
            </w:tcBorders>
            <w:shd w:val="clear" w:color="auto" w:fill="E8E8E8"/>
            <w:vAlign w:val="center"/>
          </w:tcPr>
          <w:p w14:paraId="617ADA74" w14:textId="77777777" w:rsidR="003F3C3C" w:rsidRDefault="00CD6B83">
            <w:pPr>
              <w:spacing w:after="0" w:line="259" w:lineRule="auto"/>
              <w:ind w:left="160" w:firstLine="0"/>
            </w:pPr>
            <w:r>
              <w:rPr>
                <w:rFonts w:ascii="Arial" w:eastAsia="Arial" w:hAnsi="Arial" w:cs="Arial"/>
                <w:b/>
                <w:sz w:val="19"/>
              </w:rPr>
              <w:t>Step</w:t>
            </w:r>
            <w:r>
              <w:rPr>
                <w:rFonts w:ascii="Arial" w:eastAsia="Arial" w:hAnsi="Arial" w:cs="Arial"/>
                <w:color w:val="1F2937"/>
                <w:sz w:val="20"/>
              </w:rPr>
              <w:t xml:space="preserve"> </w:t>
            </w:r>
          </w:p>
        </w:tc>
        <w:tc>
          <w:tcPr>
            <w:tcW w:w="6703" w:type="dxa"/>
            <w:tcBorders>
              <w:top w:val="single" w:sz="4" w:space="0" w:color="1A1A1A"/>
              <w:left w:val="nil"/>
              <w:bottom w:val="single" w:sz="4" w:space="0" w:color="1A1A1A"/>
              <w:right w:val="nil"/>
            </w:tcBorders>
            <w:shd w:val="clear" w:color="auto" w:fill="E8E8E8"/>
            <w:vAlign w:val="center"/>
          </w:tcPr>
          <w:p w14:paraId="411B8A61" w14:textId="77777777" w:rsidR="003F3C3C" w:rsidRDefault="00CD6B83">
            <w:pPr>
              <w:spacing w:after="0" w:line="259" w:lineRule="auto"/>
              <w:ind w:left="0" w:firstLine="0"/>
            </w:pPr>
            <w:r>
              <w:rPr>
                <w:rFonts w:ascii="Arial" w:eastAsia="Arial" w:hAnsi="Arial" w:cs="Arial"/>
                <w:b/>
                <w:sz w:val="19"/>
              </w:rPr>
              <w:t>What the records showed</w:t>
            </w:r>
            <w:r>
              <w:rPr>
                <w:rFonts w:ascii="Arial" w:eastAsia="Arial" w:hAnsi="Arial" w:cs="Arial"/>
                <w:color w:val="1F2937"/>
                <w:sz w:val="20"/>
              </w:rPr>
              <w:t xml:space="preserve"> </w:t>
            </w:r>
          </w:p>
        </w:tc>
      </w:tr>
      <w:tr w:rsidR="003F3C3C" w14:paraId="65F7EE8A" w14:textId="77777777">
        <w:trPr>
          <w:trHeight w:val="471"/>
        </w:trPr>
        <w:tc>
          <w:tcPr>
            <w:tcW w:w="2661" w:type="dxa"/>
            <w:tcBorders>
              <w:top w:val="single" w:sz="4" w:space="0" w:color="1A1A1A"/>
              <w:left w:val="nil"/>
              <w:bottom w:val="single" w:sz="4" w:space="0" w:color="1A1A1A"/>
              <w:right w:val="nil"/>
            </w:tcBorders>
            <w:vAlign w:val="center"/>
          </w:tcPr>
          <w:p w14:paraId="6C13FA82" w14:textId="77777777" w:rsidR="003F3C3C" w:rsidRDefault="00CD6B83">
            <w:pPr>
              <w:spacing w:after="0" w:line="259" w:lineRule="auto"/>
              <w:ind w:left="160" w:firstLine="0"/>
            </w:pPr>
            <w:r>
              <w:rPr>
                <w:rFonts w:ascii="Arial" w:eastAsia="Arial" w:hAnsi="Arial" w:cs="Arial"/>
                <w:sz w:val="19"/>
              </w:rPr>
              <w:t>1. Supplier wallets</w:t>
            </w:r>
            <w:r>
              <w:rPr>
                <w:rFonts w:ascii="Arial" w:eastAsia="Arial" w:hAnsi="Arial" w:cs="Arial"/>
                <w:color w:val="1F2937"/>
                <w:sz w:val="20"/>
              </w:rPr>
              <w:t xml:space="preserve"> </w:t>
            </w:r>
          </w:p>
        </w:tc>
        <w:tc>
          <w:tcPr>
            <w:tcW w:w="6703" w:type="dxa"/>
            <w:tcBorders>
              <w:top w:val="single" w:sz="4" w:space="0" w:color="1A1A1A"/>
              <w:left w:val="nil"/>
              <w:bottom w:val="single" w:sz="4" w:space="0" w:color="1A1A1A"/>
              <w:right w:val="nil"/>
            </w:tcBorders>
            <w:vAlign w:val="center"/>
          </w:tcPr>
          <w:p w14:paraId="557E365A" w14:textId="77777777" w:rsidR="003F3C3C" w:rsidRDefault="00CD6B83">
            <w:pPr>
              <w:spacing w:after="0" w:line="259" w:lineRule="auto"/>
              <w:ind w:left="0" w:firstLine="0"/>
            </w:pPr>
            <w:r>
              <w:rPr>
                <w:rFonts w:ascii="Arial" w:eastAsia="Arial" w:hAnsi="Arial" w:cs="Arial"/>
                <w:sz w:val="19"/>
              </w:rPr>
              <w:t>Bought Yes/No contracts and carried the purchase costs.</w:t>
            </w:r>
            <w:r>
              <w:rPr>
                <w:rFonts w:ascii="Arial" w:eastAsia="Arial" w:hAnsi="Arial" w:cs="Arial"/>
                <w:color w:val="1F2937"/>
                <w:sz w:val="20"/>
              </w:rPr>
              <w:t xml:space="preserve"> </w:t>
            </w:r>
          </w:p>
        </w:tc>
      </w:tr>
      <w:tr w:rsidR="003F3C3C" w14:paraId="7C21FA20" w14:textId="77777777">
        <w:trPr>
          <w:trHeight w:val="701"/>
        </w:trPr>
        <w:tc>
          <w:tcPr>
            <w:tcW w:w="2661" w:type="dxa"/>
            <w:tcBorders>
              <w:top w:val="single" w:sz="4" w:space="0" w:color="1A1A1A"/>
              <w:left w:val="nil"/>
              <w:bottom w:val="single" w:sz="4" w:space="0" w:color="1A1A1A"/>
              <w:right w:val="nil"/>
            </w:tcBorders>
            <w:vAlign w:val="center"/>
          </w:tcPr>
          <w:p w14:paraId="738707C9" w14:textId="77777777" w:rsidR="003F3C3C" w:rsidRDefault="00CD6B83">
            <w:pPr>
              <w:spacing w:after="0" w:line="259" w:lineRule="auto"/>
              <w:ind w:left="160" w:firstLine="0"/>
            </w:pPr>
            <w:r>
              <w:rPr>
                <w:rFonts w:ascii="Arial" w:eastAsia="Arial" w:hAnsi="Arial" w:cs="Arial"/>
                <w:sz w:val="19"/>
              </w:rPr>
              <w:t>2. Contract transfer</w:t>
            </w:r>
            <w:r>
              <w:rPr>
                <w:rFonts w:ascii="Arial" w:eastAsia="Arial" w:hAnsi="Arial" w:cs="Arial"/>
                <w:color w:val="1F2937"/>
                <w:sz w:val="20"/>
              </w:rPr>
              <w:t xml:space="preserve"> </w:t>
            </w:r>
          </w:p>
        </w:tc>
        <w:tc>
          <w:tcPr>
            <w:tcW w:w="6703" w:type="dxa"/>
            <w:tcBorders>
              <w:top w:val="single" w:sz="4" w:space="0" w:color="1A1A1A"/>
              <w:left w:val="nil"/>
              <w:bottom w:val="single" w:sz="4" w:space="0" w:color="1A1A1A"/>
              <w:right w:val="nil"/>
            </w:tcBorders>
            <w:vAlign w:val="center"/>
          </w:tcPr>
          <w:p w14:paraId="1E429A31" w14:textId="77777777" w:rsidR="003F3C3C" w:rsidRDefault="00CD6B83">
            <w:pPr>
              <w:spacing w:after="0" w:line="259" w:lineRule="auto"/>
              <w:ind w:left="0" w:right="34" w:firstLine="0"/>
            </w:pPr>
            <w:r>
              <w:rPr>
                <w:rFonts w:ascii="Arial" w:eastAsia="Arial" w:hAnsi="Arial" w:cs="Arial"/>
                <w:sz w:val="19"/>
              </w:rPr>
              <w:t>Contracts were transferred to the collecting wallet rather than purchased there through the exchange.</w:t>
            </w:r>
            <w:r>
              <w:rPr>
                <w:rFonts w:ascii="Arial" w:eastAsia="Arial" w:hAnsi="Arial" w:cs="Arial"/>
                <w:color w:val="1F2937"/>
                <w:sz w:val="20"/>
              </w:rPr>
              <w:t xml:space="preserve"> </w:t>
            </w:r>
          </w:p>
        </w:tc>
      </w:tr>
      <w:tr w:rsidR="003F3C3C" w14:paraId="5BB67D78" w14:textId="77777777">
        <w:trPr>
          <w:trHeight w:val="470"/>
        </w:trPr>
        <w:tc>
          <w:tcPr>
            <w:tcW w:w="2661" w:type="dxa"/>
            <w:tcBorders>
              <w:top w:val="single" w:sz="4" w:space="0" w:color="1A1A1A"/>
              <w:left w:val="nil"/>
              <w:bottom w:val="single" w:sz="4" w:space="0" w:color="1A1A1A"/>
              <w:right w:val="nil"/>
            </w:tcBorders>
            <w:vAlign w:val="center"/>
          </w:tcPr>
          <w:p w14:paraId="3E85A3E6" w14:textId="77777777" w:rsidR="003F3C3C" w:rsidRDefault="00CD6B83">
            <w:pPr>
              <w:spacing w:after="0" w:line="259" w:lineRule="auto"/>
              <w:ind w:left="160" w:firstLine="0"/>
            </w:pPr>
            <w:r>
              <w:rPr>
                <w:rFonts w:ascii="Arial" w:eastAsia="Arial" w:hAnsi="Arial" w:cs="Arial"/>
                <w:sz w:val="19"/>
              </w:rPr>
              <w:t>3. Collecting wallet</w:t>
            </w:r>
            <w:r>
              <w:rPr>
                <w:rFonts w:ascii="Arial" w:eastAsia="Arial" w:hAnsi="Arial" w:cs="Arial"/>
                <w:color w:val="1F2937"/>
                <w:sz w:val="20"/>
              </w:rPr>
              <w:t xml:space="preserve"> </w:t>
            </w:r>
          </w:p>
        </w:tc>
        <w:tc>
          <w:tcPr>
            <w:tcW w:w="6703" w:type="dxa"/>
            <w:tcBorders>
              <w:top w:val="single" w:sz="4" w:space="0" w:color="1A1A1A"/>
              <w:left w:val="nil"/>
              <w:bottom w:val="single" w:sz="4" w:space="0" w:color="1A1A1A"/>
              <w:right w:val="nil"/>
            </w:tcBorders>
            <w:vAlign w:val="center"/>
          </w:tcPr>
          <w:p w14:paraId="27ED7537" w14:textId="77777777" w:rsidR="003F3C3C" w:rsidRDefault="00CD6B83">
            <w:pPr>
              <w:spacing w:after="0" w:line="259" w:lineRule="auto"/>
              <w:ind w:left="0" w:firstLine="0"/>
            </w:pPr>
            <w:r>
              <w:rPr>
                <w:rFonts w:ascii="Arial" w:eastAsia="Arial" w:hAnsi="Arial" w:cs="Arial"/>
                <w:sz w:val="19"/>
              </w:rPr>
              <w:t>Redeemed winning contracts and received the payouts.</w:t>
            </w:r>
            <w:r>
              <w:rPr>
                <w:rFonts w:ascii="Arial" w:eastAsia="Arial" w:hAnsi="Arial" w:cs="Arial"/>
                <w:color w:val="1F2937"/>
                <w:sz w:val="20"/>
              </w:rPr>
              <w:t xml:space="preserve"> </w:t>
            </w:r>
          </w:p>
        </w:tc>
      </w:tr>
      <w:tr w:rsidR="003F3C3C" w14:paraId="6169EDB1" w14:textId="77777777">
        <w:trPr>
          <w:trHeight w:val="700"/>
        </w:trPr>
        <w:tc>
          <w:tcPr>
            <w:tcW w:w="2661" w:type="dxa"/>
            <w:tcBorders>
              <w:top w:val="single" w:sz="4" w:space="0" w:color="1A1A1A"/>
              <w:left w:val="nil"/>
              <w:bottom w:val="single" w:sz="4" w:space="0" w:color="1A1A1A"/>
              <w:right w:val="nil"/>
            </w:tcBorders>
            <w:vAlign w:val="center"/>
          </w:tcPr>
          <w:p w14:paraId="02F8512B" w14:textId="77777777" w:rsidR="003F3C3C" w:rsidRDefault="00CD6B83">
            <w:pPr>
              <w:spacing w:after="0" w:line="259" w:lineRule="auto"/>
              <w:ind w:left="160" w:firstLine="0"/>
            </w:pPr>
            <w:r>
              <w:rPr>
                <w:rFonts w:ascii="Arial" w:eastAsia="Arial" w:hAnsi="Arial" w:cs="Arial"/>
                <w:sz w:val="19"/>
              </w:rPr>
              <w:t>4. Cash distribution</w:t>
            </w:r>
            <w:r>
              <w:rPr>
                <w:rFonts w:ascii="Arial" w:eastAsia="Arial" w:hAnsi="Arial" w:cs="Arial"/>
                <w:color w:val="1F2937"/>
                <w:sz w:val="20"/>
              </w:rPr>
              <w:t xml:space="preserve"> </w:t>
            </w:r>
          </w:p>
        </w:tc>
        <w:tc>
          <w:tcPr>
            <w:tcW w:w="6703" w:type="dxa"/>
            <w:tcBorders>
              <w:top w:val="single" w:sz="4" w:space="0" w:color="1A1A1A"/>
              <w:left w:val="nil"/>
              <w:bottom w:val="single" w:sz="4" w:space="0" w:color="1A1A1A"/>
              <w:right w:val="nil"/>
            </w:tcBorders>
            <w:vAlign w:val="center"/>
          </w:tcPr>
          <w:p w14:paraId="0B4E99AB" w14:textId="77777777" w:rsidR="003F3C3C" w:rsidRDefault="00CD6B83">
            <w:pPr>
              <w:spacing w:after="0" w:line="259" w:lineRule="auto"/>
              <w:ind w:left="0" w:firstLine="0"/>
            </w:pPr>
            <w:r>
              <w:rPr>
                <w:rFonts w:ascii="Arial" w:eastAsia="Arial" w:hAnsi="Arial" w:cs="Arial"/>
                <w:sz w:val="19"/>
              </w:rPr>
              <w:t>Most of the redeemed cash was sent back to wallets that had supplied contracts.</w:t>
            </w:r>
            <w:r>
              <w:rPr>
                <w:rFonts w:ascii="Arial" w:eastAsia="Arial" w:hAnsi="Arial" w:cs="Arial"/>
                <w:color w:val="1F2937"/>
                <w:sz w:val="20"/>
              </w:rPr>
              <w:t xml:space="preserve"> </w:t>
            </w:r>
          </w:p>
        </w:tc>
      </w:tr>
    </w:tbl>
    <w:p w14:paraId="37D09574" w14:textId="77777777" w:rsidR="003F3C3C" w:rsidRDefault="00CD6B83">
      <w:pPr>
        <w:pStyle w:val="Heading2"/>
        <w:ind w:left="-5"/>
      </w:pPr>
      <w:r>
        <w:t>The cash largely flowed back to the suppliers</w:t>
      </w:r>
      <w:r>
        <w:rPr>
          <w:rFonts w:ascii="Calibri" w:eastAsia="Calibri" w:hAnsi="Calibri" w:cs="Calibri"/>
          <w:color w:val="1D697D"/>
          <w:sz w:val="25"/>
        </w:rPr>
        <w:t xml:space="preserve"> </w:t>
      </w:r>
    </w:p>
    <w:p w14:paraId="58025EDA" w14:textId="77777777" w:rsidR="003F3C3C" w:rsidRDefault="00CD6B83">
      <w:pPr>
        <w:ind w:left="-5" w:right="4"/>
      </w:pPr>
      <w:r>
        <w:t>In the separate 30-day window ending September 18, the collecting wallet converted about $6.00 millions of payouts into Polymarket's dollar-</w:t>
      </w:r>
      <w:r>
        <w:t>denominated trading token and sent $5.93 million onward. Of that outgoing money, 99.98% went to 145 wallets that had supplied contracts.</w:t>
      </w:r>
      <w:r>
        <w:rPr>
          <w:rFonts w:ascii="Arial" w:eastAsia="Arial" w:hAnsi="Arial" w:cs="Arial"/>
          <w:color w:val="1F2937"/>
          <w:sz w:val="20"/>
        </w:rPr>
        <w:t xml:space="preserve"> </w:t>
      </w:r>
    </w:p>
    <w:p w14:paraId="6DFDB79F" w14:textId="77777777" w:rsidR="003F3C3C" w:rsidRDefault="00CD6B83">
      <w:pPr>
        <w:spacing w:after="0"/>
        <w:ind w:left="-5" w:right="4"/>
      </w:pPr>
      <w:r>
        <w:t xml:space="preserve">The network also shared an earlier funding pattern. Each of the 15 largest suppliers received its first funding - exactly $200 - from the collecting wallet, and all 15 payments occurred within 48 seconds on April 24. </w:t>
      </w:r>
      <w:r>
        <w:rPr>
          <w:b/>
        </w:rPr>
        <w:t>Taken together, the funding, contract transfers and return payments are consistent with one connected operation spread across multiple addresses</w:t>
      </w:r>
      <w:r>
        <w:t>. The records do not identify who operated it.</w:t>
      </w:r>
      <w:r>
        <w:rPr>
          <w:rFonts w:ascii="Arial" w:eastAsia="Arial" w:hAnsi="Arial" w:cs="Arial"/>
          <w:color w:val="1F2937"/>
          <w:sz w:val="20"/>
        </w:rPr>
        <w:t xml:space="preserve"> </w:t>
      </w:r>
    </w:p>
    <w:tbl>
      <w:tblPr>
        <w:tblStyle w:val="TableGrid"/>
        <w:tblW w:w="9364" w:type="dxa"/>
        <w:tblInd w:w="-110" w:type="dxa"/>
        <w:tblCellMar>
          <w:top w:w="233" w:type="dxa"/>
          <w:left w:w="110" w:type="dxa"/>
          <w:bottom w:w="0" w:type="dxa"/>
          <w:right w:w="53" w:type="dxa"/>
        </w:tblCellMar>
        <w:tblLook w:val="04A0" w:firstRow="1" w:lastRow="0" w:firstColumn="1" w:lastColumn="0" w:noHBand="0" w:noVBand="1"/>
      </w:tblPr>
      <w:tblGrid>
        <w:gridCol w:w="2341"/>
        <w:gridCol w:w="2341"/>
        <w:gridCol w:w="2341"/>
        <w:gridCol w:w="2341"/>
      </w:tblGrid>
      <w:tr w:rsidR="003F3C3C" w14:paraId="5F10A130" w14:textId="77777777">
        <w:trPr>
          <w:trHeight w:val="2245"/>
        </w:trPr>
        <w:tc>
          <w:tcPr>
            <w:tcW w:w="2341" w:type="dxa"/>
            <w:tcBorders>
              <w:top w:val="single" w:sz="4" w:space="0" w:color="000000"/>
              <w:left w:val="single" w:sz="4" w:space="0" w:color="000000"/>
              <w:bottom w:val="single" w:sz="4" w:space="0" w:color="000000"/>
              <w:right w:val="single" w:sz="4" w:space="0" w:color="000000"/>
            </w:tcBorders>
            <w:vAlign w:val="center"/>
          </w:tcPr>
          <w:p w14:paraId="397A3437" w14:textId="77777777" w:rsidR="003F3C3C" w:rsidRDefault="00CD6B83">
            <w:pPr>
              <w:spacing w:after="180" w:line="259" w:lineRule="auto"/>
              <w:ind w:left="0" w:firstLine="0"/>
            </w:pPr>
            <w:r>
              <w:rPr>
                <w:rFonts w:ascii="Arial" w:eastAsia="Arial" w:hAnsi="Arial" w:cs="Arial"/>
                <w:b/>
                <w:sz w:val="23"/>
              </w:rPr>
              <w:t xml:space="preserve">194 </w:t>
            </w:r>
          </w:p>
          <w:p w14:paraId="2031F9B9" w14:textId="77777777" w:rsidR="003F3C3C" w:rsidRDefault="00CD6B83">
            <w:pPr>
              <w:spacing w:after="55" w:line="259" w:lineRule="auto"/>
              <w:ind w:left="0" w:firstLine="0"/>
            </w:pPr>
            <w:r>
              <w:rPr>
                <w:rFonts w:ascii="Arial" w:eastAsia="Arial" w:hAnsi="Arial" w:cs="Arial"/>
                <w:sz w:val="23"/>
              </w:rPr>
              <w:t xml:space="preserve">Supplier wallets observed in the 18day contract-transfer window </w:t>
            </w:r>
          </w:p>
          <w:p w14:paraId="3845FC95" w14:textId="77777777" w:rsidR="003F3C3C" w:rsidRDefault="00CD6B83">
            <w:pPr>
              <w:spacing w:after="0" w:line="259" w:lineRule="auto"/>
              <w:ind w:left="0" w:firstLine="0"/>
            </w:pPr>
            <w:r>
              <w:rPr>
                <w:rFonts w:ascii="Arial" w:eastAsia="Arial" w:hAnsi="Arial" w:cs="Arial"/>
                <w:color w:val="1F2937"/>
                <w:sz w:val="20"/>
              </w:rPr>
              <w:t xml:space="preserve"> </w:t>
            </w:r>
          </w:p>
        </w:tc>
        <w:tc>
          <w:tcPr>
            <w:tcW w:w="2341" w:type="dxa"/>
            <w:tcBorders>
              <w:top w:val="single" w:sz="4" w:space="0" w:color="000000"/>
              <w:left w:val="single" w:sz="4" w:space="0" w:color="000000"/>
              <w:bottom w:val="single" w:sz="4" w:space="0" w:color="000000"/>
              <w:right w:val="single" w:sz="4" w:space="0" w:color="000000"/>
            </w:tcBorders>
            <w:vAlign w:val="center"/>
          </w:tcPr>
          <w:p w14:paraId="6FF7B9D1" w14:textId="77777777" w:rsidR="003F3C3C" w:rsidRDefault="00CD6B83">
            <w:pPr>
              <w:spacing w:after="180" w:line="259" w:lineRule="auto"/>
              <w:ind w:left="0" w:firstLine="0"/>
            </w:pPr>
            <w:r>
              <w:rPr>
                <w:rFonts w:ascii="Arial" w:eastAsia="Arial" w:hAnsi="Arial" w:cs="Arial"/>
                <w:b/>
                <w:sz w:val="23"/>
              </w:rPr>
              <w:t xml:space="preserve">99.87% </w:t>
            </w:r>
          </w:p>
          <w:p w14:paraId="0DA07107" w14:textId="77777777" w:rsidR="003F3C3C" w:rsidRDefault="00CD6B83">
            <w:pPr>
              <w:spacing w:after="55" w:line="259" w:lineRule="auto"/>
              <w:ind w:left="0" w:right="323" w:firstLine="0"/>
              <w:jc w:val="both"/>
            </w:pPr>
            <w:r>
              <w:rPr>
                <w:rFonts w:ascii="Arial" w:eastAsia="Arial" w:hAnsi="Arial" w:cs="Arial"/>
                <w:sz w:val="23"/>
              </w:rPr>
              <w:t xml:space="preserve">Share of incoming contract transfers accounted for by suppliers </w:t>
            </w:r>
          </w:p>
          <w:p w14:paraId="5F1CD4CF" w14:textId="77777777" w:rsidR="003F3C3C" w:rsidRDefault="00CD6B83">
            <w:pPr>
              <w:spacing w:after="0" w:line="259" w:lineRule="auto"/>
              <w:ind w:left="0" w:firstLine="0"/>
            </w:pPr>
            <w:r>
              <w:rPr>
                <w:rFonts w:ascii="Arial" w:eastAsia="Arial" w:hAnsi="Arial" w:cs="Arial"/>
                <w:color w:val="1F2937"/>
                <w:sz w:val="20"/>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701CFD09" w14:textId="77777777" w:rsidR="003F3C3C" w:rsidRDefault="00CD6B83">
            <w:pPr>
              <w:spacing w:after="180" w:line="259" w:lineRule="auto"/>
              <w:ind w:left="0" w:firstLine="0"/>
            </w:pPr>
            <w:r>
              <w:rPr>
                <w:rFonts w:ascii="Arial" w:eastAsia="Arial" w:hAnsi="Arial" w:cs="Arial"/>
                <w:b/>
                <w:sz w:val="23"/>
              </w:rPr>
              <w:t xml:space="preserve">$6.00M </w:t>
            </w:r>
          </w:p>
          <w:p w14:paraId="23243B6E" w14:textId="77777777" w:rsidR="003F3C3C" w:rsidRDefault="00CD6B83">
            <w:pPr>
              <w:spacing w:after="55" w:line="259" w:lineRule="auto"/>
              <w:ind w:left="0" w:right="223" w:firstLine="0"/>
              <w:jc w:val="both"/>
            </w:pPr>
            <w:r>
              <w:rPr>
                <w:rFonts w:ascii="Arial" w:eastAsia="Arial" w:hAnsi="Arial" w:cs="Arial"/>
                <w:sz w:val="23"/>
              </w:rPr>
              <w:t xml:space="preserve">Payouts converted over the 30 days to Sep. 18 </w:t>
            </w:r>
          </w:p>
          <w:p w14:paraId="4008B9DC" w14:textId="77777777" w:rsidR="003F3C3C" w:rsidRDefault="00CD6B83">
            <w:pPr>
              <w:spacing w:after="0" w:line="259" w:lineRule="auto"/>
              <w:ind w:left="0" w:firstLine="0"/>
            </w:pPr>
            <w:r>
              <w:rPr>
                <w:rFonts w:ascii="Arial" w:eastAsia="Arial" w:hAnsi="Arial" w:cs="Arial"/>
                <w:color w:val="1F2937"/>
                <w:sz w:val="20"/>
              </w:rPr>
              <w:t xml:space="preserve"> </w:t>
            </w:r>
          </w:p>
        </w:tc>
        <w:tc>
          <w:tcPr>
            <w:tcW w:w="2341" w:type="dxa"/>
            <w:tcBorders>
              <w:top w:val="single" w:sz="4" w:space="0" w:color="000000"/>
              <w:left w:val="single" w:sz="4" w:space="0" w:color="000000"/>
              <w:bottom w:val="single" w:sz="4" w:space="0" w:color="000000"/>
              <w:right w:val="single" w:sz="4" w:space="0" w:color="000000"/>
            </w:tcBorders>
            <w:vAlign w:val="center"/>
          </w:tcPr>
          <w:p w14:paraId="29CF1107" w14:textId="77777777" w:rsidR="003F3C3C" w:rsidRDefault="00CD6B83">
            <w:pPr>
              <w:spacing w:after="180" w:line="259" w:lineRule="auto"/>
              <w:ind w:left="0" w:firstLine="0"/>
            </w:pPr>
            <w:r>
              <w:rPr>
                <w:rFonts w:ascii="Arial" w:eastAsia="Arial" w:hAnsi="Arial" w:cs="Arial"/>
                <w:b/>
                <w:sz w:val="23"/>
              </w:rPr>
              <w:t xml:space="preserve">99.98% </w:t>
            </w:r>
          </w:p>
          <w:p w14:paraId="07CD06CC" w14:textId="77777777" w:rsidR="003F3C3C" w:rsidRDefault="00CD6B83">
            <w:pPr>
              <w:spacing w:after="55" w:line="259" w:lineRule="auto"/>
              <w:ind w:left="0" w:right="171" w:firstLine="0"/>
              <w:jc w:val="both"/>
            </w:pPr>
            <w:r>
              <w:rPr>
                <w:rFonts w:ascii="Arial" w:eastAsia="Arial" w:hAnsi="Arial" w:cs="Arial"/>
                <w:sz w:val="23"/>
              </w:rPr>
              <w:t xml:space="preserve">Share of outgoing cash sent to wallets that had supplied contracts </w:t>
            </w:r>
          </w:p>
          <w:p w14:paraId="5F8A7E00" w14:textId="77777777" w:rsidR="003F3C3C" w:rsidRDefault="00CD6B83">
            <w:pPr>
              <w:spacing w:after="0" w:line="259" w:lineRule="auto"/>
              <w:ind w:left="0" w:firstLine="0"/>
            </w:pPr>
            <w:r>
              <w:rPr>
                <w:rFonts w:ascii="Arial" w:eastAsia="Arial" w:hAnsi="Arial" w:cs="Arial"/>
                <w:color w:val="1F2937"/>
                <w:sz w:val="20"/>
              </w:rPr>
              <w:t xml:space="preserve"> </w:t>
            </w:r>
          </w:p>
        </w:tc>
      </w:tr>
    </w:tbl>
    <w:p w14:paraId="1C048A74" w14:textId="77777777" w:rsidR="003F3C3C" w:rsidRDefault="00CD6B83">
      <w:pPr>
        <w:spacing w:after="199" w:line="259" w:lineRule="auto"/>
        <w:ind w:left="0" w:firstLine="0"/>
      </w:pPr>
      <w:r>
        <w:rPr>
          <w:rFonts w:ascii="Arial" w:eastAsia="Arial" w:hAnsi="Arial" w:cs="Arial"/>
          <w:b/>
          <w:sz w:val="23"/>
        </w:rPr>
        <w:t xml:space="preserve"> </w:t>
      </w:r>
    </w:p>
    <w:p w14:paraId="754039B6" w14:textId="77777777" w:rsidR="003F3C3C" w:rsidRDefault="00CD6B83">
      <w:pPr>
        <w:pStyle w:val="Heading2"/>
        <w:ind w:left="-5"/>
      </w:pPr>
      <w:r>
        <w:t>WHY THIS MATTERS FOR PNL</w:t>
      </w:r>
      <w:r>
        <w:rPr>
          <w:rFonts w:ascii="Calibri" w:eastAsia="Calibri" w:hAnsi="Calibri" w:cs="Calibri"/>
          <w:color w:val="1D697D"/>
          <w:sz w:val="25"/>
        </w:rPr>
        <w:t xml:space="preserve"> </w:t>
      </w:r>
    </w:p>
    <w:p w14:paraId="3BF2F673" w14:textId="77777777" w:rsidR="003F3C3C" w:rsidRDefault="00CD6B83">
      <w:pPr>
        <w:ind w:left="-5" w:right="4"/>
      </w:pPr>
      <w:r>
        <w:t>If the purchase costs remain on the supplier wallets while the collecting wallet receives credit for redeeming the contracts, the same connected operation can look like one large winner surrounded by many losers. A wallet-level leaderboard can therefore diverge from operationlevel economics.</w:t>
      </w:r>
      <w:r>
        <w:rPr>
          <w:rFonts w:ascii="Arial" w:eastAsia="Arial" w:hAnsi="Arial" w:cs="Arial"/>
          <w:color w:val="1F2937"/>
          <w:sz w:val="20"/>
        </w:rPr>
        <w:t xml:space="preserve"> </w:t>
      </w:r>
    </w:p>
    <w:p w14:paraId="72E57304" w14:textId="77777777" w:rsidR="003F3C3C" w:rsidRDefault="00CD6B83">
      <w:pPr>
        <w:pStyle w:val="Heading1"/>
        <w:ind w:left="-5"/>
      </w:pPr>
      <w:r>
        <w:lastRenderedPageBreak/>
        <w:t>Case 1 continued: the leaderboard figure tracked payouts</w:t>
      </w:r>
      <w:r>
        <w:rPr>
          <w:rFonts w:ascii="Calibri" w:eastAsia="Calibri" w:hAnsi="Calibri" w:cs="Calibri"/>
          <w:color w:val="1F2937"/>
          <w:sz w:val="34"/>
        </w:rPr>
        <w:t xml:space="preserve"> </w:t>
      </w:r>
    </w:p>
    <w:p w14:paraId="677A471A" w14:textId="77777777" w:rsidR="003F3C3C" w:rsidRDefault="00CD6B83">
      <w:pPr>
        <w:spacing w:after="234" w:line="259" w:lineRule="auto"/>
        <w:ind w:left="-30" w:right="-40" w:firstLine="0"/>
      </w:pPr>
      <w:r>
        <w:rPr>
          <w:rFonts w:ascii="Calibri" w:eastAsia="Calibri" w:hAnsi="Calibri" w:cs="Calibri"/>
          <w:noProof/>
          <w:color w:val="000000"/>
        </w:rPr>
        <mc:AlternateContent>
          <mc:Choice Requires="wpg">
            <w:drawing>
              <wp:inline distT="0" distB="0" distL="0" distR="0" wp14:anchorId="2219521D" wp14:editId="406FD57D">
                <wp:extent cx="5984241" cy="9525"/>
                <wp:effectExtent l="0" t="0" r="0" b="0"/>
                <wp:docPr id="11573" name="Group 11573"/>
                <wp:cNvGraphicFramePr/>
                <a:graphic xmlns:a="http://schemas.openxmlformats.org/drawingml/2006/main">
                  <a:graphicData uri="http://schemas.microsoft.com/office/word/2010/wordprocessingGroup">
                    <wpg:wgp>
                      <wpg:cNvGrpSpPr/>
                      <wpg:grpSpPr>
                        <a:xfrm>
                          <a:off x="0" y="0"/>
                          <a:ext cx="5984241" cy="9525"/>
                          <a:chOff x="0" y="0"/>
                          <a:chExt cx="5984241" cy="9525"/>
                        </a:xfrm>
                      </wpg:grpSpPr>
                      <wps:wsp>
                        <wps:cNvPr id="15483" name="Shape 15483"/>
                        <wps:cNvSpPr/>
                        <wps:spPr>
                          <a:xfrm>
                            <a:off x="0" y="0"/>
                            <a:ext cx="5984241" cy="9525"/>
                          </a:xfrm>
                          <a:custGeom>
                            <a:avLst/>
                            <a:gdLst/>
                            <a:ahLst/>
                            <a:cxnLst/>
                            <a:rect l="0" t="0" r="0" b="0"/>
                            <a:pathLst>
                              <a:path w="5984241" h="9525">
                                <a:moveTo>
                                  <a:pt x="0" y="0"/>
                                </a:moveTo>
                                <a:lnTo>
                                  <a:pt x="5984241" y="0"/>
                                </a:lnTo>
                                <a:lnTo>
                                  <a:pt x="5984241" y="9525"/>
                                </a:lnTo>
                                <a:lnTo>
                                  <a:pt x="0" y="9525"/>
                                </a:lnTo>
                                <a:lnTo>
                                  <a:pt x="0" y="0"/>
                                </a:lnTo>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inline>
            </w:drawing>
          </mc:Choice>
          <mc:Fallback xmlns:a="http://schemas.openxmlformats.org/drawingml/2006/main">
            <w:pict>
              <v:group id="Group 11573" style="width:471.2pt;height:0.75pt;mso-position-horizontal-relative:char;mso-position-vertical-relative:line" coordsize="59842,95">
                <v:shape id="Shape 15484" style="position:absolute;width:59842;height:95;left:0;top:0;" coordsize="5984241,9525" path="m0,0l5984241,0l5984241,9525l0,9525l0,0">
                  <v:stroke weight="0pt" endcap="flat" joinstyle="miter" miterlimit="10" on="false" color="#000000" opacity="0"/>
                  <v:fill on="true" color="#1a1a1a"/>
                </v:shape>
              </v:group>
            </w:pict>
          </mc:Fallback>
        </mc:AlternateContent>
      </w:r>
    </w:p>
    <w:p w14:paraId="5906AAF4" w14:textId="77777777" w:rsidR="003F3C3C" w:rsidRDefault="00CD6B83">
      <w:pPr>
        <w:ind w:left="-5" w:right="4"/>
      </w:pPr>
      <w:r>
        <w:t>MSR Decode tested whether the displayed monthly profit behaved like the collecting wallet's gross payouts. Two candidate calculations were compared: a rolling 30-day total and a running total that kept adding payouts from one fixed starting date.</w:t>
      </w:r>
      <w:r>
        <w:rPr>
          <w:rFonts w:ascii="Arial" w:eastAsia="Arial" w:hAnsi="Arial" w:cs="Arial"/>
          <w:color w:val="1F2937"/>
          <w:sz w:val="20"/>
        </w:rPr>
        <w:t xml:space="preserve"> </w:t>
      </w:r>
    </w:p>
    <w:p w14:paraId="6FD92BCD" w14:textId="77777777" w:rsidR="003F3C3C" w:rsidRDefault="00CD6B83">
      <w:pPr>
        <w:ind w:left="-5" w:right="4"/>
      </w:pPr>
      <w:r>
        <w:t>The archived monthly profit readings behaved much more like the running total. Between September 10 and 17, displayed profit rose by $879,686, from about $4.89 million to $5.77 million, while the wallet received $878,560 in payouts.</w:t>
      </w:r>
      <w:r>
        <w:rPr>
          <w:rFonts w:ascii="Arial" w:eastAsia="Arial" w:hAnsi="Arial" w:cs="Arial"/>
          <w:color w:val="1F2937"/>
          <w:sz w:val="20"/>
        </w:rPr>
        <w:t xml:space="preserve"> </w:t>
      </w:r>
    </w:p>
    <w:p w14:paraId="79725D84" w14:textId="77777777" w:rsidR="003F3C3C" w:rsidRDefault="00CD6B83">
      <w:pPr>
        <w:spacing w:after="233"/>
        <w:ind w:left="-5" w:right="4"/>
      </w:pPr>
      <w:r>
        <w:t>Across the broader test, adding payouts from August 19 reproduced all 30 archived monthly readings within 0.23%. Instead, every rolling 30-day version tested missed at least 28 of those 30 readings by more than 2%.  *MSR did not identify a transaction or documented system change that independently established that date as the true start of Polymarket's calculation.</w:t>
      </w:r>
      <w:r>
        <w:rPr>
          <w:rFonts w:ascii="Arial" w:eastAsia="Arial" w:hAnsi="Arial" w:cs="Arial"/>
          <w:color w:val="1F2937"/>
          <w:sz w:val="20"/>
        </w:rPr>
        <w:t xml:space="preserve"> </w:t>
      </w:r>
    </w:p>
    <w:p w14:paraId="337A8F82" w14:textId="77777777" w:rsidR="003F3C3C" w:rsidRDefault="00CD6B83">
      <w:pPr>
        <w:pStyle w:val="Heading2"/>
        <w:ind w:left="-5"/>
      </w:pPr>
      <w:r>
        <w:t>Where the purchase costs appeared</w:t>
      </w:r>
      <w:r>
        <w:rPr>
          <w:rFonts w:ascii="Calibri" w:eastAsia="Calibri" w:hAnsi="Calibri" w:cs="Calibri"/>
          <w:color w:val="1D697D"/>
          <w:sz w:val="25"/>
        </w:rPr>
        <w:t xml:space="preserve"> </w:t>
      </w:r>
    </w:p>
    <w:p w14:paraId="7FE0401F" w14:textId="77777777" w:rsidR="003F3C3C" w:rsidRDefault="00CD6B83">
      <w:pPr>
        <w:spacing w:after="238"/>
        <w:ind w:left="-5" w:right="4"/>
      </w:pPr>
      <w:r>
        <w:t xml:space="preserve">Monthly results were available for 178 supplying wallets. Of those, 174 showed losses, and the combined displayed result across all 178 was negative $6,076,534. Those losses are consistent with purchase costs remaining on the supplier records while the collecting wallet received credit for the redemption side. </w:t>
      </w:r>
      <w:r>
        <w:rPr>
          <w:rFonts w:ascii="Arial" w:eastAsia="Arial" w:hAnsi="Arial" w:cs="Arial"/>
          <w:color w:val="1F2937"/>
          <w:sz w:val="20"/>
        </w:rPr>
        <w:t xml:space="preserve"> </w:t>
      </w:r>
    </w:p>
    <w:p w14:paraId="5908D38E" w14:textId="77777777" w:rsidR="003F3C3C" w:rsidRDefault="00CD6B83">
      <w:pPr>
        <w:pStyle w:val="Heading2"/>
        <w:ind w:left="-5"/>
      </w:pPr>
      <w:r>
        <w:t>A sample of the underlying economics</w:t>
      </w:r>
      <w:r>
        <w:rPr>
          <w:rFonts w:ascii="Calibri" w:eastAsia="Calibri" w:hAnsi="Calibri" w:cs="Calibri"/>
          <w:color w:val="1D697D"/>
          <w:sz w:val="25"/>
        </w:rPr>
        <w:t xml:space="preserve"> </w:t>
      </w:r>
    </w:p>
    <w:p w14:paraId="42A8D6D0" w14:textId="77777777" w:rsidR="003F3C3C" w:rsidRDefault="00CD6B83">
      <w:pPr>
        <w:ind w:left="-5" w:right="4"/>
      </w:pPr>
      <w:r>
        <w:t>To estimate how much of the payout could plausibly represent economic gain, MSR reconstructed six individual supplier-</w:t>
      </w:r>
      <w:r>
        <w:t>wallet days. In those samples, every $1 spent returned about $1.09 to $1.13. The first dollar repaid the purchase cost; the remaining 9 to 13 cents was the gain. Expressed as a share of the payout received, the gain was approximately 8% to 12%.</w:t>
      </w:r>
      <w:r>
        <w:rPr>
          <w:rFonts w:ascii="Arial" w:eastAsia="Arial" w:hAnsi="Arial" w:cs="Arial"/>
          <w:color w:val="1F2937"/>
          <w:sz w:val="20"/>
        </w:rPr>
        <w:t xml:space="preserve"> </w:t>
      </w:r>
    </w:p>
    <w:p w14:paraId="6245B670" w14:textId="77777777" w:rsidR="003F3C3C" w:rsidRDefault="00CD6B83">
      <w:pPr>
        <w:ind w:left="-5" w:right="4"/>
      </w:pPr>
      <w:r>
        <w:t>If those sampled returns happened to hold across the roughly $6 million of 30-day payouts, the implied profit would be approximately $500,000 to $700,000 - far below $6.1 million. This is only a conditional illustration. The six wallet-</w:t>
      </w:r>
      <w:r>
        <w:t>days were not a reconstruction of the full operation and should not be treated as a certified total PnL figure.</w:t>
      </w:r>
      <w:r>
        <w:rPr>
          <w:rFonts w:ascii="Arial" w:eastAsia="Arial" w:hAnsi="Arial" w:cs="Arial"/>
          <w:color w:val="1F2937"/>
          <w:sz w:val="20"/>
        </w:rPr>
        <w:t xml:space="preserve"> </w:t>
      </w:r>
    </w:p>
    <w:p w14:paraId="2774CE77" w14:textId="77777777" w:rsidR="003F3C3C" w:rsidRDefault="00CD6B83">
      <w:pPr>
        <w:spacing w:after="238" w:line="259" w:lineRule="auto"/>
        <w:ind w:left="0" w:firstLine="0"/>
      </w:pPr>
      <w:r>
        <w:t xml:space="preserve"> </w:t>
      </w:r>
    </w:p>
    <w:p w14:paraId="472174A9" w14:textId="77777777" w:rsidR="003F3C3C" w:rsidRDefault="00CD6B83">
      <w:pPr>
        <w:spacing w:after="243" w:line="259" w:lineRule="auto"/>
        <w:ind w:left="0" w:firstLine="0"/>
      </w:pPr>
      <w:r>
        <w:t xml:space="preserve"> </w:t>
      </w:r>
    </w:p>
    <w:p w14:paraId="69855188" w14:textId="77777777" w:rsidR="003F3C3C" w:rsidRDefault="00CD6B83">
      <w:pPr>
        <w:spacing w:after="238" w:line="259" w:lineRule="auto"/>
        <w:ind w:left="0" w:firstLine="0"/>
      </w:pPr>
      <w:r>
        <w:t xml:space="preserve"> </w:t>
      </w:r>
    </w:p>
    <w:p w14:paraId="3A95BBF4" w14:textId="77777777" w:rsidR="003F3C3C" w:rsidRDefault="00CD6B83">
      <w:pPr>
        <w:spacing w:after="243" w:line="259" w:lineRule="auto"/>
        <w:ind w:left="0" w:firstLine="0"/>
      </w:pPr>
      <w:r>
        <w:t xml:space="preserve"> </w:t>
      </w:r>
    </w:p>
    <w:p w14:paraId="1D58488C" w14:textId="77777777" w:rsidR="003F3C3C" w:rsidRDefault="00CD6B83">
      <w:pPr>
        <w:spacing w:after="0" w:line="259" w:lineRule="auto"/>
        <w:ind w:left="0" w:firstLine="0"/>
      </w:pPr>
      <w:r>
        <w:t xml:space="preserve"> </w:t>
      </w:r>
    </w:p>
    <w:tbl>
      <w:tblPr>
        <w:tblStyle w:val="TableGrid"/>
        <w:tblW w:w="9364" w:type="dxa"/>
        <w:tblInd w:w="0" w:type="dxa"/>
        <w:tblCellMar>
          <w:top w:w="0" w:type="dxa"/>
          <w:left w:w="0" w:type="dxa"/>
          <w:bottom w:w="0" w:type="dxa"/>
          <w:right w:w="455" w:type="dxa"/>
        </w:tblCellMar>
        <w:tblLook w:val="04A0" w:firstRow="1" w:lastRow="0" w:firstColumn="1" w:lastColumn="0" w:noHBand="0" w:noVBand="1"/>
      </w:tblPr>
      <w:tblGrid>
        <w:gridCol w:w="3162"/>
        <w:gridCol w:w="2301"/>
        <w:gridCol w:w="3901"/>
      </w:tblGrid>
      <w:tr w:rsidR="003F3C3C" w14:paraId="3C57B7B9" w14:textId="77777777">
        <w:trPr>
          <w:trHeight w:val="463"/>
        </w:trPr>
        <w:tc>
          <w:tcPr>
            <w:tcW w:w="3162" w:type="dxa"/>
            <w:tcBorders>
              <w:top w:val="single" w:sz="4" w:space="0" w:color="1A1A1A"/>
              <w:left w:val="nil"/>
              <w:bottom w:val="single" w:sz="4" w:space="0" w:color="1A1A1A"/>
              <w:right w:val="nil"/>
            </w:tcBorders>
            <w:shd w:val="clear" w:color="auto" w:fill="E8E8E8"/>
            <w:vAlign w:val="center"/>
          </w:tcPr>
          <w:p w14:paraId="5EE3F295" w14:textId="77777777" w:rsidR="003F3C3C" w:rsidRDefault="00CD6B83">
            <w:pPr>
              <w:spacing w:after="0" w:line="259" w:lineRule="auto"/>
              <w:ind w:left="160" w:firstLine="0"/>
            </w:pPr>
            <w:r>
              <w:rPr>
                <w:rFonts w:ascii="Arial" w:eastAsia="Arial" w:hAnsi="Arial" w:cs="Arial"/>
                <w:b/>
                <w:sz w:val="19"/>
              </w:rPr>
              <w:lastRenderedPageBreak/>
              <w:t>Measure</w:t>
            </w:r>
            <w:r>
              <w:rPr>
                <w:rFonts w:ascii="Arial" w:eastAsia="Arial" w:hAnsi="Arial" w:cs="Arial"/>
                <w:color w:val="1F2937"/>
                <w:sz w:val="20"/>
              </w:rPr>
              <w:t xml:space="preserve"> </w:t>
            </w:r>
          </w:p>
        </w:tc>
        <w:tc>
          <w:tcPr>
            <w:tcW w:w="2301" w:type="dxa"/>
            <w:tcBorders>
              <w:top w:val="single" w:sz="4" w:space="0" w:color="1A1A1A"/>
              <w:left w:val="nil"/>
              <w:bottom w:val="single" w:sz="4" w:space="0" w:color="1A1A1A"/>
              <w:right w:val="nil"/>
            </w:tcBorders>
            <w:shd w:val="clear" w:color="auto" w:fill="E8E8E8"/>
            <w:vAlign w:val="center"/>
          </w:tcPr>
          <w:p w14:paraId="69DE2228" w14:textId="77777777" w:rsidR="003F3C3C" w:rsidRDefault="00CD6B83">
            <w:pPr>
              <w:spacing w:after="0" w:line="259" w:lineRule="auto"/>
              <w:ind w:left="0" w:firstLine="0"/>
            </w:pPr>
            <w:r>
              <w:rPr>
                <w:rFonts w:ascii="Arial" w:eastAsia="Arial" w:hAnsi="Arial" w:cs="Arial"/>
                <w:b/>
                <w:sz w:val="19"/>
              </w:rPr>
              <w:t>Observed result</w:t>
            </w:r>
            <w:r>
              <w:rPr>
                <w:rFonts w:ascii="Arial" w:eastAsia="Arial" w:hAnsi="Arial" w:cs="Arial"/>
                <w:color w:val="1F2937"/>
                <w:sz w:val="20"/>
              </w:rPr>
              <w:t xml:space="preserve"> </w:t>
            </w:r>
          </w:p>
        </w:tc>
        <w:tc>
          <w:tcPr>
            <w:tcW w:w="3902" w:type="dxa"/>
            <w:tcBorders>
              <w:top w:val="single" w:sz="4" w:space="0" w:color="1A1A1A"/>
              <w:left w:val="nil"/>
              <w:bottom w:val="single" w:sz="4" w:space="0" w:color="1A1A1A"/>
              <w:right w:val="nil"/>
            </w:tcBorders>
            <w:shd w:val="clear" w:color="auto" w:fill="E8E8E8"/>
            <w:vAlign w:val="center"/>
          </w:tcPr>
          <w:p w14:paraId="09D1452E" w14:textId="77777777" w:rsidR="003F3C3C" w:rsidRDefault="00CD6B83">
            <w:pPr>
              <w:spacing w:after="0" w:line="259" w:lineRule="auto"/>
              <w:ind w:left="0" w:firstLine="0"/>
            </w:pPr>
            <w:r>
              <w:rPr>
                <w:rFonts w:ascii="Arial" w:eastAsia="Arial" w:hAnsi="Arial" w:cs="Arial"/>
                <w:b/>
                <w:sz w:val="19"/>
              </w:rPr>
              <w:t>Interpretation</w:t>
            </w:r>
            <w:r>
              <w:rPr>
                <w:rFonts w:ascii="Arial" w:eastAsia="Arial" w:hAnsi="Arial" w:cs="Arial"/>
                <w:color w:val="1F2937"/>
                <w:sz w:val="20"/>
              </w:rPr>
              <w:t xml:space="preserve"> </w:t>
            </w:r>
          </w:p>
        </w:tc>
      </w:tr>
      <w:tr w:rsidR="003F3C3C" w14:paraId="6CDAF478" w14:textId="77777777">
        <w:trPr>
          <w:trHeight w:val="472"/>
        </w:trPr>
        <w:tc>
          <w:tcPr>
            <w:tcW w:w="3162" w:type="dxa"/>
            <w:tcBorders>
              <w:top w:val="single" w:sz="4" w:space="0" w:color="1A1A1A"/>
              <w:left w:val="nil"/>
              <w:bottom w:val="single" w:sz="4" w:space="0" w:color="1A1A1A"/>
              <w:right w:val="nil"/>
            </w:tcBorders>
            <w:vAlign w:val="center"/>
          </w:tcPr>
          <w:p w14:paraId="0C300F06" w14:textId="77777777" w:rsidR="003F3C3C" w:rsidRDefault="00CD6B83">
            <w:pPr>
              <w:spacing w:after="0" w:line="259" w:lineRule="auto"/>
              <w:ind w:left="160" w:firstLine="0"/>
            </w:pPr>
            <w:r>
              <w:rPr>
                <w:rFonts w:ascii="Arial" w:eastAsia="Arial" w:hAnsi="Arial" w:cs="Arial"/>
                <w:sz w:val="19"/>
              </w:rPr>
              <w:t>Leaderboard monthly profit</w:t>
            </w:r>
            <w:r>
              <w:rPr>
                <w:rFonts w:ascii="Arial" w:eastAsia="Arial" w:hAnsi="Arial" w:cs="Arial"/>
                <w:color w:val="1F2937"/>
                <w:sz w:val="20"/>
              </w:rPr>
              <w:t xml:space="preserve"> </w:t>
            </w:r>
          </w:p>
        </w:tc>
        <w:tc>
          <w:tcPr>
            <w:tcW w:w="2301" w:type="dxa"/>
            <w:tcBorders>
              <w:top w:val="single" w:sz="4" w:space="0" w:color="1A1A1A"/>
              <w:left w:val="nil"/>
              <w:bottom w:val="single" w:sz="4" w:space="0" w:color="1A1A1A"/>
              <w:right w:val="nil"/>
            </w:tcBorders>
            <w:vAlign w:val="center"/>
          </w:tcPr>
          <w:p w14:paraId="2ABD125A" w14:textId="77777777" w:rsidR="003F3C3C" w:rsidRDefault="00CD6B83">
            <w:pPr>
              <w:spacing w:after="0" w:line="259" w:lineRule="auto"/>
              <w:ind w:left="0" w:firstLine="0"/>
            </w:pPr>
            <w:r>
              <w:rPr>
                <w:rFonts w:ascii="Arial" w:eastAsia="Arial" w:hAnsi="Arial" w:cs="Arial"/>
                <w:sz w:val="19"/>
              </w:rPr>
              <w:t>$6,127,169.04</w:t>
            </w:r>
            <w:r>
              <w:rPr>
                <w:rFonts w:ascii="Arial" w:eastAsia="Arial" w:hAnsi="Arial" w:cs="Arial"/>
                <w:color w:val="1F2937"/>
                <w:sz w:val="20"/>
              </w:rPr>
              <w:t xml:space="preserve"> </w:t>
            </w:r>
          </w:p>
        </w:tc>
        <w:tc>
          <w:tcPr>
            <w:tcW w:w="3902" w:type="dxa"/>
            <w:tcBorders>
              <w:top w:val="single" w:sz="4" w:space="0" w:color="1A1A1A"/>
              <w:left w:val="nil"/>
              <w:bottom w:val="single" w:sz="4" w:space="0" w:color="1A1A1A"/>
              <w:right w:val="nil"/>
            </w:tcBorders>
            <w:vAlign w:val="center"/>
          </w:tcPr>
          <w:p w14:paraId="3275D0E0" w14:textId="77777777" w:rsidR="003F3C3C" w:rsidRDefault="00CD6B83">
            <w:pPr>
              <w:spacing w:after="0" w:line="259" w:lineRule="auto"/>
              <w:ind w:left="0" w:firstLine="0"/>
            </w:pPr>
            <w:r>
              <w:rPr>
                <w:rFonts w:ascii="Arial" w:eastAsia="Arial" w:hAnsi="Arial" w:cs="Arial"/>
                <w:sz w:val="19"/>
              </w:rPr>
              <w:t>Public ranking on Sep. 18</w:t>
            </w:r>
            <w:r>
              <w:rPr>
                <w:rFonts w:ascii="Arial" w:eastAsia="Arial" w:hAnsi="Arial" w:cs="Arial"/>
                <w:color w:val="1F2937"/>
                <w:sz w:val="20"/>
              </w:rPr>
              <w:t xml:space="preserve"> </w:t>
            </w:r>
          </w:p>
        </w:tc>
      </w:tr>
      <w:tr w:rsidR="003F3C3C" w14:paraId="7002D063" w14:textId="77777777">
        <w:trPr>
          <w:trHeight w:val="465"/>
        </w:trPr>
        <w:tc>
          <w:tcPr>
            <w:tcW w:w="3162" w:type="dxa"/>
            <w:tcBorders>
              <w:top w:val="single" w:sz="4" w:space="0" w:color="1A1A1A"/>
              <w:left w:val="nil"/>
              <w:bottom w:val="single" w:sz="4" w:space="0" w:color="1A1A1A"/>
              <w:right w:val="nil"/>
            </w:tcBorders>
            <w:vAlign w:val="center"/>
          </w:tcPr>
          <w:p w14:paraId="26E18A4B" w14:textId="77777777" w:rsidR="003F3C3C" w:rsidRDefault="00CD6B83">
            <w:pPr>
              <w:spacing w:after="0" w:line="259" w:lineRule="auto"/>
              <w:ind w:left="160" w:firstLine="0"/>
            </w:pPr>
            <w:r>
              <w:rPr>
                <w:rFonts w:ascii="Arial" w:eastAsia="Arial" w:hAnsi="Arial" w:cs="Arial"/>
                <w:sz w:val="19"/>
              </w:rPr>
              <w:t>Leaderboard trading volume</w:t>
            </w:r>
            <w:r>
              <w:rPr>
                <w:rFonts w:ascii="Arial" w:eastAsia="Arial" w:hAnsi="Arial" w:cs="Arial"/>
                <w:color w:val="1F2937"/>
                <w:sz w:val="20"/>
              </w:rPr>
              <w:t xml:space="preserve"> </w:t>
            </w:r>
          </w:p>
        </w:tc>
        <w:tc>
          <w:tcPr>
            <w:tcW w:w="2301" w:type="dxa"/>
            <w:tcBorders>
              <w:top w:val="single" w:sz="4" w:space="0" w:color="1A1A1A"/>
              <w:left w:val="nil"/>
              <w:bottom w:val="single" w:sz="4" w:space="0" w:color="1A1A1A"/>
              <w:right w:val="nil"/>
            </w:tcBorders>
            <w:vAlign w:val="center"/>
          </w:tcPr>
          <w:p w14:paraId="35832BE6" w14:textId="77777777" w:rsidR="003F3C3C" w:rsidRDefault="00CD6B83">
            <w:pPr>
              <w:spacing w:after="0" w:line="259" w:lineRule="auto"/>
              <w:ind w:left="0" w:firstLine="0"/>
            </w:pPr>
            <w:r>
              <w:rPr>
                <w:rFonts w:ascii="Arial" w:eastAsia="Arial" w:hAnsi="Arial" w:cs="Arial"/>
                <w:sz w:val="19"/>
              </w:rPr>
              <w:t>$0</w:t>
            </w:r>
            <w:r>
              <w:rPr>
                <w:rFonts w:ascii="Arial" w:eastAsia="Arial" w:hAnsi="Arial" w:cs="Arial"/>
                <w:color w:val="1F2937"/>
                <w:sz w:val="20"/>
              </w:rPr>
              <w:t xml:space="preserve"> </w:t>
            </w:r>
          </w:p>
        </w:tc>
        <w:tc>
          <w:tcPr>
            <w:tcW w:w="3902" w:type="dxa"/>
            <w:tcBorders>
              <w:top w:val="single" w:sz="4" w:space="0" w:color="1A1A1A"/>
              <w:left w:val="nil"/>
              <w:bottom w:val="single" w:sz="4" w:space="0" w:color="1A1A1A"/>
              <w:right w:val="nil"/>
            </w:tcBorders>
            <w:vAlign w:val="center"/>
          </w:tcPr>
          <w:p w14:paraId="0437E96E" w14:textId="77777777" w:rsidR="003F3C3C" w:rsidRDefault="00CD6B83">
            <w:pPr>
              <w:spacing w:after="0" w:line="259" w:lineRule="auto"/>
              <w:ind w:left="0" w:firstLine="0"/>
            </w:pPr>
            <w:r>
              <w:rPr>
                <w:rFonts w:ascii="Arial" w:eastAsia="Arial" w:hAnsi="Arial" w:cs="Arial"/>
                <w:sz w:val="19"/>
              </w:rPr>
              <w:t>Public ranking on Sep. 18</w:t>
            </w:r>
            <w:r>
              <w:rPr>
                <w:rFonts w:ascii="Arial" w:eastAsia="Arial" w:hAnsi="Arial" w:cs="Arial"/>
                <w:color w:val="1F2937"/>
                <w:sz w:val="20"/>
              </w:rPr>
              <w:t xml:space="preserve"> </w:t>
            </w:r>
          </w:p>
        </w:tc>
      </w:tr>
      <w:tr w:rsidR="003F3C3C" w14:paraId="162F6036" w14:textId="77777777">
        <w:trPr>
          <w:trHeight w:val="705"/>
        </w:trPr>
        <w:tc>
          <w:tcPr>
            <w:tcW w:w="3162" w:type="dxa"/>
            <w:tcBorders>
              <w:top w:val="single" w:sz="4" w:space="0" w:color="1A1A1A"/>
              <w:left w:val="nil"/>
              <w:bottom w:val="single" w:sz="4" w:space="0" w:color="1A1A1A"/>
              <w:right w:val="nil"/>
            </w:tcBorders>
            <w:vAlign w:val="center"/>
          </w:tcPr>
          <w:p w14:paraId="37016558" w14:textId="77777777" w:rsidR="003F3C3C" w:rsidRDefault="00CD6B83">
            <w:pPr>
              <w:spacing w:after="0" w:line="259" w:lineRule="auto"/>
              <w:ind w:left="160" w:firstLine="0"/>
            </w:pPr>
            <w:r>
              <w:rPr>
                <w:rFonts w:ascii="Arial" w:eastAsia="Arial" w:hAnsi="Arial" w:cs="Arial"/>
                <w:sz w:val="19"/>
              </w:rPr>
              <w:t>30-day payouts received</w:t>
            </w:r>
            <w:r>
              <w:rPr>
                <w:rFonts w:ascii="Arial" w:eastAsia="Arial" w:hAnsi="Arial" w:cs="Arial"/>
                <w:color w:val="1F2937"/>
                <w:sz w:val="20"/>
              </w:rPr>
              <w:t xml:space="preserve"> </w:t>
            </w:r>
          </w:p>
        </w:tc>
        <w:tc>
          <w:tcPr>
            <w:tcW w:w="2301" w:type="dxa"/>
            <w:tcBorders>
              <w:top w:val="single" w:sz="4" w:space="0" w:color="1A1A1A"/>
              <w:left w:val="nil"/>
              <w:bottom w:val="single" w:sz="4" w:space="0" w:color="1A1A1A"/>
              <w:right w:val="nil"/>
            </w:tcBorders>
            <w:vAlign w:val="center"/>
          </w:tcPr>
          <w:p w14:paraId="4B99B2B7" w14:textId="77777777" w:rsidR="003F3C3C" w:rsidRDefault="00CD6B83">
            <w:pPr>
              <w:spacing w:after="0" w:line="259" w:lineRule="auto"/>
              <w:ind w:left="0" w:firstLine="0"/>
            </w:pPr>
            <w:r>
              <w:rPr>
                <w:rFonts w:ascii="Arial" w:eastAsia="Arial" w:hAnsi="Arial" w:cs="Arial"/>
                <w:sz w:val="19"/>
              </w:rPr>
              <w:t>About $6.00M</w:t>
            </w:r>
            <w:r>
              <w:rPr>
                <w:rFonts w:ascii="Arial" w:eastAsia="Arial" w:hAnsi="Arial" w:cs="Arial"/>
                <w:color w:val="1F2937"/>
                <w:sz w:val="20"/>
              </w:rPr>
              <w:t xml:space="preserve"> </w:t>
            </w:r>
          </w:p>
        </w:tc>
        <w:tc>
          <w:tcPr>
            <w:tcW w:w="3902" w:type="dxa"/>
            <w:tcBorders>
              <w:top w:val="single" w:sz="4" w:space="0" w:color="1A1A1A"/>
              <w:left w:val="nil"/>
              <w:bottom w:val="single" w:sz="4" w:space="0" w:color="1A1A1A"/>
              <w:right w:val="nil"/>
            </w:tcBorders>
            <w:vAlign w:val="center"/>
          </w:tcPr>
          <w:p w14:paraId="6269F6D6" w14:textId="77777777" w:rsidR="003F3C3C" w:rsidRDefault="00CD6B83">
            <w:pPr>
              <w:spacing w:after="0" w:line="259" w:lineRule="auto"/>
              <w:ind w:left="0" w:firstLine="0"/>
            </w:pPr>
            <w:r>
              <w:rPr>
                <w:rFonts w:ascii="Arial" w:eastAsia="Arial" w:hAnsi="Arial" w:cs="Arial"/>
                <w:sz w:val="19"/>
              </w:rPr>
              <w:t>Gross redemption proceeds before purchase costs</w:t>
            </w:r>
            <w:r>
              <w:rPr>
                <w:rFonts w:ascii="Arial" w:eastAsia="Arial" w:hAnsi="Arial" w:cs="Arial"/>
                <w:color w:val="1F2937"/>
                <w:sz w:val="20"/>
              </w:rPr>
              <w:t xml:space="preserve"> </w:t>
            </w:r>
          </w:p>
        </w:tc>
      </w:tr>
      <w:tr w:rsidR="003F3C3C" w14:paraId="0A6865C8" w14:textId="77777777">
        <w:trPr>
          <w:trHeight w:val="466"/>
        </w:trPr>
        <w:tc>
          <w:tcPr>
            <w:tcW w:w="3162" w:type="dxa"/>
            <w:tcBorders>
              <w:top w:val="single" w:sz="4" w:space="0" w:color="1A1A1A"/>
              <w:left w:val="nil"/>
              <w:bottom w:val="single" w:sz="4" w:space="0" w:color="1A1A1A"/>
              <w:right w:val="nil"/>
            </w:tcBorders>
            <w:vAlign w:val="center"/>
          </w:tcPr>
          <w:p w14:paraId="328AC3BF" w14:textId="77777777" w:rsidR="003F3C3C" w:rsidRDefault="00CD6B83">
            <w:pPr>
              <w:spacing w:after="0" w:line="259" w:lineRule="auto"/>
              <w:ind w:left="160" w:firstLine="0"/>
            </w:pPr>
            <w:r>
              <w:rPr>
                <w:rFonts w:ascii="Arial" w:eastAsia="Arial" w:hAnsi="Arial" w:cs="Arial"/>
                <w:sz w:val="19"/>
              </w:rPr>
              <w:t>30-day cash sent onward</w:t>
            </w:r>
            <w:r>
              <w:rPr>
                <w:rFonts w:ascii="Arial" w:eastAsia="Arial" w:hAnsi="Arial" w:cs="Arial"/>
                <w:color w:val="1F2937"/>
                <w:sz w:val="20"/>
              </w:rPr>
              <w:t xml:space="preserve"> </w:t>
            </w:r>
          </w:p>
        </w:tc>
        <w:tc>
          <w:tcPr>
            <w:tcW w:w="2301" w:type="dxa"/>
            <w:tcBorders>
              <w:top w:val="single" w:sz="4" w:space="0" w:color="1A1A1A"/>
              <w:left w:val="nil"/>
              <w:bottom w:val="single" w:sz="4" w:space="0" w:color="1A1A1A"/>
              <w:right w:val="nil"/>
            </w:tcBorders>
            <w:vAlign w:val="center"/>
          </w:tcPr>
          <w:p w14:paraId="10843ED8" w14:textId="77777777" w:rsidR="003F3C3C" w:rsidRDefault="00CD6B83">
            <w:pPr>
              <w:spacing w:after="0" w:line="259" w:lineRule="auto"/>
              <w:ind w:left="0" w:firstLine="0"/>
            </w:pPr>
            <w:r>
              <w:rPr>
                <w:rFonts w:ascii="Arial" w:eastAsia="Arial" w:hAnsi="Arial" w:cs="Arial"/>
                <w:sz w:val="19"/>
              </w:rPr>
              <w:t>$5.93M</w:t>
            </w:r>
            <w:r>
              <w:rPr>
                <w:rFonts w:ascii="Arial" w:eastAsia="Arial" w:hAnsi="Arial" w:cs="Arial"/>
                <w:color w:val="1F2937"/>
                <w:sz w:val="20"/>
              </w:rPr>
              <w:t xml:space="preserve"> </w:t>
            </w:r>
          </w:p>
        </w:tc>
        <w:tc>
          <w:tcPr>
            <w:tcW w:w="3902" w:type="dxa"/>
            <w:tcBorders>
              <w:top w:val="single" w:sz="4" w:space="0" w:color="1A1A1A"/>
              <w:left w:val="nil"/>
              <w:bottom w:val="single" w:sz="4" w:space="0" w:color="1A1A1A"/>
              <w:right w:val="nil"/>
            </w:tcBorders>
            <w:vAlign w:val="center"/>
          </w:tcPr>
          <w:p w14:paraId="3C6BB0BF" w14:textId="77777777" w:rsidR="003F3C3C" w:rsidRDefault="00CD6B83">
            <w:pPr>
              <w:spacing w:after="0" w:line="259" w:lineRule="auto"/>
              <w:ind w:left="0" w:firstLine="0"/>
            </w:pPr>
            <w:r>
              <w:rPr>
                <w:rFonts w:ascii="Arial" w:eastAsia="Arial" w:hAnsi="Arial" w:cs="Arial"/>
                <w:sz w:val="19"/>
              </w:rPr>
              <w:t>Most returned to supplier wallets</w:t>
            </w:r>
            <w:r>
              <w:rPr>
                <w:rFonts w:ascii="Arial" w:eastAsia="Arial" w:hAnsi="Arial" w:cs="Arial"/>
                <w:color w:val="1F2937"/>
                <w:sz w:val="20"/>
              </w:rPr>
              <w:t xml:space="preserve"> </w:t>
            </w:r>
          </w:p>
        </w:tc>
      </w:tr>
      <w:tr w:rsidR="003F3C3C" w14:paraId="2541DA3A" w14:textId="77777777">
        <w:trPr>
          <w:trHeight w:val="705"/>
        </w:trPr>
        <w:tc>
          <w:tcPr>
            <w:tcW w:w="3162" w:type="dxa"/>
            <w:tcBorders>
              <w:top w:val="single" w:sz="4" w:space="0" w:color="1A1A1A"/>
              <w:left w:val="nil"/>
              <w:bottom w:val="single" w:sz="4" w:space="0" w:color="1A1A1A"/>
              <w:right w:val="nil"/>
            </w:tcBorders>
            <w:vAlign w:val="center"/>
          </w:tcPr>
          <w:p w14:paraId="62156DB0" w14:textId="77777777" w:rsidR="003F3C3C" w:rsidRDefault="00CD6B83">
            <w:pPr>
              <w:spacing w:after="0" w:line="259" w:lineRule="auto"/>
              <w:ind w:left="160" w:firstLine="0"/>
            </w:pPr>
            <w:r>
              <w:rPr>
                <w:rFonts w:ascii="Arial" w:eastAsia="Arial" w:hAnsi="Arial" w:cs="Arial"/>
                <w:sz w:val="19"/>
              </w:rPr>
              <w:t>Six sampled wallet-days</w:t>
            </w:r>
            <w:r>
              <w:rPr>
                <w:rFonts w:ascii="Arial" w:eastAsia="Arial" w:hAnsi="Arial" w:cs="Arial"/>
                <w:color w:val="1F2937"/>
                <w:sz w:val="20"/>
              </w:rPr>
              <w:t xml:space="preserve"> </w:t>
            </w:r>
          </w:p>
        </w:tc>
        <w:tc>
          <w:tcPr>
            <w:tcW w:w="2301" w:type="dxa"/>
            <w:tcBorders>
              <w:top w:val="single" w:sz="4" w:space="0" w:color="1A1A1A"/>
              <w:left w:val="nil"/>
              <w:bottom w:val="single" w:sz="4" w:space="0" w:color="1A1A1A"/>
              <w:right w:val="nil"/>
            </w:tcBorders>
            <w:vAlign w:val="center"/>
          </w:tcPr>
          <w:p w14:paraId="6B1DF671" w14:textId="77777777" w:rsidR="003F3C3C" w:rsidRDefault="00CD6B83">
            <w:pPr>
              <w:spacing w:after="0" w:line="259" w:lineRule="auto"/>
              <w:ind w:left="0" w:firstLine="0"/>
              <w:jc w:val="both"/>
            </w:pPr>
            <w:r>
              <w:rPr>
                <w:rFonts w:ascii="Arial" w:eastAsia="Arial" w:hAnsi="Arial" w:cs="Arial"/>
                <w:sz w:val="19"/>
              </w:rPr>
              <w:t>$1.09-</w:t>
            </w:r>
            <w:r>
              <w:rPr>
                <w:rFonts w:ascii="Arial" w:eastAsia="Arial" w:hAnsi="Arial" w:cs="Arial"/>
                <w:sz w:val="19"/>
              </w:rPr>
              <w:t>$1.13 returned per $1 spent</w:t>
            </w:r>
            <w:r>
              <w:rPr>
                <w:rFonts w:ascii="Arial" w:eastAsia="Arial" w:hAnsi="Arial" w:cs="Arial"/>
                <w:color w:val="1F2937"/>
                <w:sz w:val="20"/>
              </w:rPr>
              <w:t xml:space="preserve"> </w:t>
            </w:r>
          </w:p>
        </w:tc>
        <w:tc>
          <w:tcPr>
            <w:tcW w:w="3902" w:type="dxa"/>
            <w:tcBorders>
              <w:top w:val="single" w:sz="4" w:space="0" w:color="1A1A1A"/>
              <w:left w:val="nil"/>
              <w:bottom w:val="single" w:sz="4" w:space="0" w:color="1A1A1A"/>
              <w:right w:val="nil"/>
            </w:tcBorders>
            <w:vAlign w:val="center"/>
          </w:tcPr>
          <w:p w14:paraId="77843067" w14:textId="77777777" w:rsidR="003F3C3C" w:rsidRDefault="00CD6B83">
            <w:pPr>
              <w:spacing w:after="0" w:line="259" w:lineRule="auto"/>
              <w:ind w:left="0" w:firstLine="0"/>
            </w:pPr>
            <w:r>
              <w:rPr>
                <w:rFonts w:ascii="Arial" w:eastAsia="Arial" w:hAnsi="Arial" w:cs="Arial"/>
                <w:sz w:val="19"/>
              </w:rPr>
              <w:t>Sampled economic gain far smaller than gross payout</w:t>
            </w:r>
            <w:r>
              <w:rPr>
                <w:rFonts w:ascii="Arial" w:eastAsia="Arial" w:hAnsi="Arial" w:cs="Arial"/>
                <w:color w:val="1F2937"/>
                <w:sz w:val="20"/>
              </w:rPr>
              <w:t xml:space="preserve"> </w:t>
            </w:r>
          </w:p>
        </w:tc>
      </w:tr>
      <w:tr w:rsidR="003F3C3C" w14:paraId="5D849624" w14:textId="77777777">
        <w:trPr>
          <w:trHeight w:val="700"/>
        </w:trPr>
        <w:tc>
          <w:tcPr>
            <w:tcW w:w="3162" w:type="dxa"/>
            <w:tcBorders>
              <w:top w:val="single" w:sz="4" w:space="0" w:color="1A1A1A"/>
              <w:left w:val="nil"/>
              <w:bottom w:val="single" w:sz="4" w:space="0" w:color="1A1A1A"/>
              <w:right w:val="nil"/>
            </w:tcBorders>
            <w:vAlign w:val="center"/>
          </w:tcPr>
          <w:p w14:paraId="6A5DB1D1" w14:textId="77777777" w:rsidR="003F3C3C" w:rsidRDefault="00CD6B83">
            <w:pPr>
              <w:spacing w:after="0" w:line="259" w:lineRule="auto"/>
              <w:ind w:left="160" w:firstLine="0"/>
            </w:pPr>
            <w:r>
              <w:rPr>
                <w:rFonts w:ascii="Arial" w:eastAsia="Arial" w:hAnsi="Arial" w:cs="Arial"/>
                <w:sz w:val="19"/>
              </w:rPr>
              <w:t>Illustrative profit if samples generalized</w:t>
            </w:r>
            <w:r>
              <w:rPr>
                <w:rFonts w:ascii="Arial" w:eastAsia="Arial" w:hAnsi="Arial" w:cs="Arial"/>
                <w:color w:val="1F2937"/>
                <w:sz w:val="20"/>
              </w:rPr>
              <w:t xml:space="preserve"> </w:t>
            </w:r>
          </w:p>
        </w:tc>
        <w:tc>
          <w:tcPr>
            <w:tcW w:w="2301" w:type="dxa"/>
            <w:tcBorders>
              <w:top w:val="single" w:sz="4" w:space="0" w:color="1A1A1A"/>
              <w:left w:val="nil"/>
              <w:bottom w:val="single" w:sz="4" w:space="0" w:color="1A1A1A"/>
              <w:right w:val="nil"/>
            </w:tcBorders>
            <w:vAlign w:val="center"/>
          </w:tcPr>
          <w:p w14:paraId="277B9B75" w14:textId="77777777" w:rsidR="003F3C3C" w:rsidRDefault="00CD6B83">
            <w:pPr>
              <w:spacing w:after="0" w:line="259" w:lineRule="auto"/>
              <w:ind w:left="0" w:firstLine="0"/>
            </w:pPr>
            <w:r>
              <w:rPr>
                <w:rFonts w:ascii="Arial" w:eastAsia="Arial" w:hAnsi="Arial" w:cs="Arial"/>
                <w:sz w:val="19"/>
              </w:rPr>
              <w:t>$500K-$700K</w:t>
            </w:r>
            <w:r>
              <w:rPr>
                <w:rFonts w:ascii="Arial" w:eastAsia="Arial" w:hAnsi="Arial" w:cs="Arial"/>
                <w:color w:val="1F2937"/>
                <w:sz w:val="20"/>
              </w:rPr>
              <w:t xml:space="preserve"> </w:t>
            </w:r>
          </w:p>
        </w:tc>
        <w:tc>
          <w:tcPr>
            <w:tcW w:w="3902" w:type="dxa"/>
            <w:tcBorders>
              <w:top w:val="single" w:sz="4" w:space="0" w:color="1A1A1A"/>
              <w:left w:val="nil"/>
              <w:bottom w:val="single" w:sz="4" w:space="0" w:color="1A1A1A"/>
              <w:right w:val="nil"/>
            </w:tcBorders>
            <w:vAlign w:val="center"/>
          </w:tcPr>
          <w:p w14:paraId="4C07ACFF" w14:textId="77777777" w:rsidR="003F3C3C" w:rsidRDefault="00CD6B83">
            <w:pPr>
              <w:spacing w:after="0" w:line="259" w:lineRule="auto"/>
              <w:ind w:left="0" w:firstLine="0"/>
            </w:pPr>
            <w:r>
              <w:rPr>
                <w:rFonts w:ascii="Arial" w:eastAsia="Arial" w:hAnsi="Arial" w:cs="Arial"/>
                <w:sz w:val="19"/>
              </w:rPr>
              <w:t>Conditional only; not a whole-operation reconstruction</w:t>
            </w:r>
            <w:r>
              <w:rPr>
                <w:rFonts w:ascii="Arial" w:eastAsia="Arial" w:hAnsi="Arial" w:cs="Arial"/>
                <w:color w:val="1F2937"/>
                <w:sz w:val="20"/>
              </w:rPr>
              <w:t xml:space="preserve"> </w:t>
            </w:r>
          </w:p>
        </w:tc>
      </w:tr>
    </w:tbl>
    <w:p w14:paraId="4280C54F" w14:textId="77777777" w:rsidR="003F3C3C" w:rsidRDefault="00CD6B83">
      <w:pPr>
        <w:pStyle w:val="Heading2"/>
        <w:ind w:left="-5"/>
      </w:pPr>
      <w:r>
        <w:t>ASSESSMENT</w:t>
      </w:r>
      <w:r>
        <w:rPr>
          <w:rFonts w:ascii="Calibri" w:eastAsia="Calibri" w:hAnsi="Calibri" w:cs="Calibri"/>
          <w:color w:val="1D697D"/>
          <w:sz w:val="25"/>
        </w:rPr>
        <w:t xml:space="preserve"> </w:t>
      </w:r>
    </w:p>
    <w:p w14:paraId="611E468F" w14:textId="77777777" w:rsidR="003F3C3C" w:rsidRDefault="00CD6B83">
      <w:pPr>
        <w:spacing w:after="468"/>
        <w:ind w:left="-5" w:right="4"/>
      </w:pPr>
      <w:r>
        <w:t xml:space="preserve">The strongest supported conclusion is that Papeasy's monthly leaderboard figure closely followed gross payouts received by the collecting wallet, while the costs of acquiring those contracts sat elsewhere in the connected wallet network. </w:t>
      </w:r>
      <w:r>
        <w:rPr>
          <w:rFonts w:ascii="Arial" w:eastAsia="Arial" w:hAnsi="Arial" w:cs="Arial"/>
          <w:color w:val="1F2937"/>
          <w:sz w:val="20"/>
        </w:rPr>
        <w:t xml:space="preserve"> </w:t>
      </w:r>
    </w:p>
    <w:p w14:paraId="6185B423" w14:textId="77777777" w:rsidR="003F3C3C" w:rsidRDefault="00CD6B83">
      <w:pPr>
        <w:pStyle w:val="Heading1"/>
        <w:ind w:left="-5"/>
      </w:pPr>
      <w:r>
        <w:t>Case 2: twelve inactive wallets appeared together</w:t>
      </w:r>
      <w:r>
        <w:rPr>
          <w:rFonts w:ascii="Calibri" w:eastAsia="Calibri" w:hAnsi="Calibri" w:cs="Calibri"/>
          <w:color w:val="1F2937"/>
          <w:sz w:val="34"/>
        </w:rPr>
        <w:t xml:space="preserve"> </w:t>
      </w:r>
    </w:p>
    <w:p w14:paraId="615C9AE6" w14:textId="77777777" w:rsidR="003F3C3C" w:rsidRDefault="00CD6B83">
      <w:pPr>
        <w:spacing w:after="234" w:line="259" w:lineRule="auto"/>
        <w:ind w:left="-30" w:right="-40" w:firstLine="0"/>
      </w:pPr>
      <w:r>
        <w:rPr>
          <w:rFonts w:ascii="Calibri" w:eastAsia="Calibri" w:hAnsi="Calibri" w:cs="Calibri"/>
          <w:noProof/>
          <w:color w:val="000000"/>
        </w:rPr>
        <mc:AlternateContent>
          <mc:Choice Requires="wpg">
            <w:drawing>
              <wp:inline distT="0" distB="0" distL="0" distR="0" wp14:anchorId="1D5DE3AB" wp14:editId="35F3E6FF">
                <wp:extent cx="5984241" cy="9525"/>
                <wp:effectExtent l="0" t="0" r="0" b="0"/>
                <wp:docPr id="14196" name="Group 14196"/>
                <wp:cNvGraphicFramePr/>
                <a:graphic xmlns:a="http://schemas.openxmlformats.org/drawingml/2006/main">
                  <a:graphicData uri="http://schemas.microsoft.com/office/word/2010/wordprocessingGroup">
                    <wpg:wgp>
                      <wpg:cNvGrpSpPr/>
                      <wpg:grpSpPr>
                        <a:xfrm>
                          <a:off x="0" y="0"/>
                          <a:ext cx="5984241" cy="9525"/>
                          <a:chOff x="0" y="0"/>
                          <a:chExt cx="5984241" cy="9525"/>
                        </a:xfrm>
                      </wpg:grpSpPr>
                      <wps:wsp>
                        <wps:cNvPr id="15485" name="Shape 15485"/>
                        <wps:cNvSpPr/>
                        <wps:spPr>
                          <a:xfrm>
                            <a:off x="0" y="0"/>
                            <a:ext cx="5984241" cy="9525"/>
                          </a:xfrm>
                          <a:custGeom>
                            <a:avLst/>
                            <a:gdLst/>
                            <a:ahLst/>
                            <a:cxnLst/>
                            <a:rect l="0" t="0" r="0" b="0"/>
                            <a:pathLst>
                              <a:path w="5984241" h="9525">
                                <a:moveTo>
                                  <a:pt x="0" y="0"/>
                                </a:moveTo>
                                <a:lnTo>
                                  <a:pt x="5984241" y="0"/>
                                </a:lnTo>
                                <a:lnTo>
                                  <a:pt x="5984241" y="9525"/>
                                </a:lnTo>
                                <a:lnTo>
                                  <a:pt x="0" y="9525"/>
                                </a:lnTo>
                                <a:lnTo>
                                  <a:pt x="0" y="0"/>
                                </a:lnTo>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inline>
            </w:drawing>
          </mc:Choice>
          <mc:Fallback xmlns:a="http://schemas.openxmlformats.org/drawingml/2006/main">
            <w:pict>
              <v:group id="Group 14196" style="width:471.2pt;height:0.75pt;mso-position-horizontal-relative:char;mso-position-vertical-relative:line" coordsize="59842,95">
                <v:shape id="Shape 15486" style="position:absolute;width:59842;height:95;left:0;top:0;" coordsize="5984241,9525" path="m0,0l5984241,0l5984241,9525l0,9525l0,0">
                  <v:stroke weight="0pt" endcap="flat" joinstyle="miter" miterlimit="10" on="false" color="#000000" opacity="0"/>
                  <v:fill on="true" color="#1a1a1a"/>
                </v:shape>
              </v:group>
            </w:pict>
          </mc:Fallback>
        </mc:AlternateContent>
      </w:r>
    </w:p>
    <w:p w14:paraId="38AF50E2" w14:textId="77777777" w:rsidR="003F3C3C" w:rsidRDefault="00CD6B83">
      <w:pPr>
        <w:ind w:left="-5" w:right="4"/>
      </w:pPr>
      <w:r>
        <w:t>A different September episode involved 12 wallets whose large reported profits did not have a comparable explanation in the records examined. One wallet ranked first with $5,869,917.50 in monthly profit; the other 11 appeared with reported profits starting at $189,512.</w:t>
      </w:r>
      <w:r>
        <w:rPr>
          <w:rFonts w:ascii="Arial" w:eastAsia="Arial" w:hAnsi="Arial" w:cs="Arial"/>
          <w:color w:val="1F2937"/>
          <w:sz w:val="20"/>
        </w:rPr>
        <w:t xml:space="preserve"> </w:t>
      </w:r>
    </w:p>
    <w:p w14:paraId="38BEB416" w14:textId="77777777" w:rsidR="003F3C3C" w:rsidRDefault="00CD6B83">
      <w:pPr>
        <w:ind w:left="-5" w:right="4"/>
      </w:pPr>
      <w:r>
        <w:t>Across all 12 wallets, MSR found the same basic features: no recorded Polymarket-contract activity since 2024, no profile page, and no entry on the all-</w:t>
      </w:r>
      <w:r>
        <w:t>time leaderboard. The group appeared in nine distinct archived server responses from 19:29 UTC on September 15 through 10:24 UTC on September 17, a span of about 39 hours. Each wallet kept its own profit figure unchanged to the fraction of a cent throughout those captures.</w:t>
      </w:r>
      <w:r>
        <w:rPr>
          <w:rFonts w:ascii="Arial" w:eastAsia="Arial" w:hAnsi="Arial" w:cs="Arial"/>
          <w:color w:val="1F2937"/>
          <w:sz w:val="20"/>
        </w:rPr>
        <w:t xml:space="preserve"> </w:t>
      </w:r>
    </w:p>
    <w:p w14:paraId="070F7C7F" w14:textId="77777777" w:rsidR="003F3C3C" w:rsidRDefault="00CD6B83">
      <w:pPr>
        <w:spacing w:after="234"/>
        <w:ind w:left="-5" w:right="4"/>
      </w:pPr>
      <w:r>
        <w:t>The group was absent before the episode and gone again afterward in the surrounding captures. Three other Polymarket data sources did not supply comparable figures, and the values were not explained by the lifetime-to-</w:t>
      </w:r>
      <w:r>
        <w:t>daily error described later in this report.</w:t>
      </w:r>
      <w:r>
        <w:rPr>
          <w:rFonts w:ascii="Arial" w:eastAsia="Arial" w:hAnsi="Arial" w:cs="Arial"/>
          <w:color w:val="1F2937"/>
          <w:sz w:val="20"/>
        </w:rPr>
        <w:t xml:space="preserve"> </w:t>
      </w:r>
    </w:p>
    <w:p w14:paraId="7827D911" w14:textId="77777777" w:rsidR="003F3C3C" w:rsidRDefault="00CD6B83">
      <w:pPr>
        <w:pStyle w:val="Heading2"/>
        <w:ind w:left="-5"/>
      </w:pPr>
      <w:r>
        <w:t>WHAT IS ESTABLISHED - AND WHAT IS NOT</w:t>
      </w:r>
      <w:r>
        <w:rPr>
          <w:rFonts w:ascii="Calibri" w:eastAsia="Calibri" w:hAnsi="Calibri" w:cs="Calibri"/>
          <w:color w:val="1D697D"/>
          <w:sz w:val="25"/>
        </w:rPr>
        <w:t xml:space="preserve"> </w:t>
      </w:r>
    </w:p>
    <w:p w14:paraId="2BBF6593" w14:textId="77777777" w:rsidR="003F3C3C" w:rsidRDefault="00CD6B83">
      <w:pPr>
        <w:ind w:left="-5" w:right="4"/>
      </w:pPr>
      <w:r>
        <w:t>The archived data establishes that the 12-wallet group appeared, that one wallet led the board with $5.87 million, and that the values remained fixed across multiple server responses. The source of those profit figures remains unresolved. This case should therefore be described as an unexplained ranking episode, not as a proven accounting mechanism.</w:t>
      </w:r>
      <w:r>
        <w:rPr>
          <w:rFonts w:ascii="Arial" w:eastAsia="Arial" w:hAnsi="Arial" w:cs="Arial"/>
          <w:color w:val="1F2937"/>
          <w:sz w:val="20"/>
        </w:rPr>
        <w:t xml:space="preserve"> </w:t>
      </w:r>
    </w:p>
    <w:p w14:paraId="68A890BE" w14:textId="77777777" w:rsidR="003F3C3C" w:rsidRDefault="00CD6B83">
      <w:pPr>
        <w:pStyle w:val="Heading1"/>
        <w:ind w:left="-5"/>
      </w:pPr>
      <w:r>
        <w:t>Case 3: old values repeatedly lifted dormant accounts into recent rankings</w:t>
      </w:r>
      <w:r>
        <w:rPr>
          <w:rFonts w:ascii="Calibri" w:eastAsia="Calibri" w:hAnsi="Calibri" w:cs="Calibri"/>
          <w:color w:val="1F2937"/>
          <w:sz w:val="34"/>
        </w:rPr>
        <w:t xml:space="preserve"> </w:t>
      </w:r>
    </w:p>
    <w:p w14:paraId="25C5A8C9" w14:textId="77777777" w:rsidR="003F3C3C" w:rsidRDefault="00CD6B83">
      <w:pPr>
        <w:spacing w:after="234" w:line="259" w:lineRule="auto"/>
        <w:ind w:left="-30" w:right="-40" w:firstLine="0"/>
      </w:pPr>
      <w:r>
        <w:rPr>
          <w:rFonts w:ascii="Calibri" w:eastAsia="Calibri" w:hAnsi="Calibri" w:cs="Calibri"/>
          <w:noProof/>
          <w:color w:val="000000"/>
        </w:rPr>
        <mc:AlternateContent>
          <mc:Choice Requires="wpg">
            <w:drawing>
              <wp:inline distT="0" distB="0" distL="0" distR="0" wp14:anchorId="68F1903D" wp14:editId="16375891">
                <wp:extent cx="5984241" cy="9525"/>
                <wp:effectExtent l="0" t="0" r="0" b="0"/>
                <wp:docPr id="14532" name="Group 14532"/>
                <wp:cNvGraphicFramePr/>
                <a:graphic xmlns:a="http://schemas.openxmlformats.org/drawingml/2006/main">
                  <a:graphicData uri="http://schemas.microsoft.com/office/word/2010/wordprocessingGroup">
                    <wpg:wgp>
                      <wpg:cNvGrpSpPr/>
                      <wpg:grpSpPr>
                        <a:xfrm>
                          <a:off x="0" y="0"/>
                          <a:ext cx="5984241" cy="9525"/>
                          <a:chOff x="0" y="0"/>
                          <a:chExt cx="5984241" cy="9525"/>
                        </a:xfrm>
                      </wpg:grpSpPr>
                      <wps:wsp>
                        <wps:cNvPr id="15487" name="Shape 15487"/>
                        <wps:cNvSpPr/>
                        <wps:spPr>
                          <a:xfrm>
                            <a:off x="0" y="0"/>
                            <a:ext cx="5984241" cy="9525"/>
                          </a:xfrm>
                          <a:custGeom>
                            <a:avLst/>
                            <a:gdLst/>
                            <a:ahLst/>
                            <a:cxnLst/>
                            <a:rect l="0" t="0" r="0" b="0"/>
                            <a:pathLst>
                              <a:path w="5984241" h="9525">
                                <a:moveTo>
                                  <a:pt x="0" y="0"/>
                                </a:moveTo>
                                <a:lnTo>
                                  <a:pt x="5984241" y="0"/>
                                </a:lnTo>
                                <a:lnTo>
                                  <a:pt x="5984241" y="9525"/>
                                </a:lnTo>
                                <a:lnTo>
                                  <a:pt x="0" y="9525"/>
                                </a:lnTo>
                                <a:lnTo>
                                  <a:pt x="0" y="0"/>
                                </a:lnTo>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inline>
            </w:drawing>
          </mc:Choice>
          <mc:Fallback xmlns:a="http://schemas.openxmlformats.org/drawingml/2006/main">
            <w:pict>
              <v:group id="Group 14532" style="width:471.2pt;height:0.75pt;mso-position-horizontal-relative:char;mso-position-vertical-relative:line" coordsize="59842,95">
                <v:shape id="Shape 15488" style="position:absolute;width:59842;height:95;left:0;top:0;" coordsize="5984241,9525" path="m0,0l5984241,0l5984241,9525l0,9525l0,0">
                  <v:stroke weight="0pt" endcap="flat" joinstyle="miter" miterlimit="10" on="false" color="#000000" opacity="0"/>
                  <v:fill on="true" color="#1a1a1a"/>
                </v:shape>
              </v:group>
            </w:pict>
          </mc:Fallback>
        </mc:AlternateContent>
      </w:r>
    </w:p>
    <w:p w14:paraId="2AE8DFBE" w14:textId="77777777" w:rsidR="003F3C3C" w:rsidRDefault="00CD6B83">
      <w:pPr>
        <w:ind w:left="-5" w:right="4"/>
      </w:pPr>
      <w:r>
        <w:t>A separate, longer-running pattern affected 13 dormant accounts. Their historical profit totals were stable, but old fixed amounts from their accounting histories repeatedly appeared in daily, weekly, monthly or category results as if they were recent gains.</w:t>
      </w:r>
      <w:r>
        <w:rPr>
          <w:rFonts w:ascii="Arial" w:eastAsia="Arial" w:hAnsi="Arial" w:cs="Arial"/>
          <w:color w:val="1F2937"/>
          <w:sz w:val="20"/>
        </w:rPr>
        <w:t xml:space="preserve"> </w:t>
      </w:r>
    </w:p>
    <w:p w14:paraId="42DC42C2" w14:textId="77777777" w:rsidR="003F3C3C" w:rsidRDefault="00CD6B83">
      <w:pPr>
        <w:ind w:left="-5" w:right="4"/>
      </w:pPr>
      <w:r>
        <w:t>The recurring amounts ranged from $4,403.78 to $102,266.87. For one account, MSR traced the discrepancy to the treatment of a winning position in a 2021 Super Bowl market: the older accounting included the position while the newer accounting did not. The amount therefore came from an old accounting difference, not from a new winning bet.</w:t>
      </w:r>
      <w:r>
        <w:rPr>
          <w:rFonts w:ascii="Arial" w:eastAsia="Arial" w:hAnsi="Arial" w:cs="Arial"/>
          <w:color w:val="1F2937"/>
          <w:sz w:val="20"/>
        </w:rPr>
        <w:t xml:space="preserve"> </w:t>
      </w:r>
    </w:p>
    <w:p w14:paraId="16F9D1F0" w14:textId="77777777" w:rsidR="003F3C3C" w:rsidRDefault="00CD6B83">
      <w:pPr>
        <w:spacing w:after="0"/>
        <w:ind w:left="-5" w:right="4"/>
      </w:pPr>
      <w:r>
        <w:t>Archived copies of Polymarket's own monthly leaderboard show these dormant accounts in the top 20 on nine dates from July through September. On September 1, four were in the top 20 and the highest-ranked dormant account was No. 6. The appearances clustered near the beginning of the month, when active traders had only started building new month-to-date profit totals.</w:t>
      </w:r>
      <w:r>
        <w:rPr>
          <w:rFonts w:ascii="Arial" w:eastAsia="Arial" w:hAnsi="Arial" w:cs="Arial"/>
          <w:color w:val="1F2937"/>
          <w:sz w:val="20"/>
        </w:rPr>
        <w:t xml:space="preserve"> </w:t>
      </w:r>
    </w:p>
    <w:tbl>
      <w:tblPr>
        <w:tblStyle w:val="TableGrid"/>
        <w:tblW w:w="9364" w:type="dxa"/>
        <w:tblInd w:w="0" w:type="dxa"/>
        <w:tblCellMar>
          <w:top w:w="0" w:type="dxa"/>
          <w:left w:w="0" w:type="dxa"/>
          <w:bottom w:w="0" w:type="dxa"/>
          <w:right w:w="104" w:type="dxa"/>
        </w:tblCellMar>
        <w:tblLook w:val="04A0" w:firstRow="1" w:lastRow="0" w:firstColumn="1" w:lastColumn="0" w:noHBand="0" w:noVBand="1"/>
      </w:tblPr>
      <w:tblGrid>
        <w:gridCol w:w="1961"/>
        <w:gridCol w:w="2601"/>
        <w:gridCol w:w="1600"/>
        <w:gridCol w:w="3202"/>
      </w:tblGrid>
      <w:tr w:rsidR="003F3C3C" w14:paraId="57409371" w14:textId="77777777">
        <w:trPr>
          <w:trHeight w:val="703"/>
        </w:trPr>
        <w:tc>
          <w:tcPr>
            <w:tcW w:w="1961" w:type="dxa"/>
            <w:tcBorders>
              <w:top w:val="single" w:sz="4" w:space="0" w:color="1A1A1A"/>
              <w:left w:val="nil"/>
              <w:bottom w:val="single" w:sz="4" w:space="0" w:color="1A1A1A"/>
              <w:right w:val="nil"/>
            </w:tcBorders>
            <w:shd w:val="clear" w:color="auto" w:fill="E8E8E8"/>
            <w:vAlign w:val="center"/>
          </w:tcPr>
          <w:p w14:paraId="08F7A647" w14:textId="77777777" w:rsidR="003F3C3C" w:rsidRDefault="00CD6B83">
            <w:pPr>
              <w:spacing w:after="0" w:line="259" w:lineRule="auto"/>
              <w:ind w:left="160" w:firstLine="0"/>
            </w:pPr>
            <w:r>
              <w:rPr>
                <w:rFonts w:ascii="Arial" w:eastAsia="Arial" w:hAnsi="Arial" w:cs="Arial"/>
                <w:b/>
                <w:sz w:val="19"/>
              </w:rPr>
              <w:t>Date</w:t>
            </w:r>
            <w:r>
              <w:rPr>
                <w:rFonts w:ascii="Arial" w:eastAsia="Arial" w:hAnsi="Arial" w:cs="Arial"/>
                <w:color w:val="1F2937"/>
                <w:sz w:val="20"/>
              </w:rPr>
              <w:t xml:space="preserve"> </w:t>
            </w:r>
          </w:p>
        </w:tc>
        <w:tc>
          <w:tcPr>
            <w:tcW w:w="2601" w:type="dxa"/>
            <w:tcBorders>
              <w:top w:val="single" w:sz="4" w:space="0" w:color="1A1A1A"/>
              <w:left w:val="nil"/>
              <w:bottom w:val="single" w:sz="4" w:space="0" w:color="1A1A1A"/>
              <w:right w:val="nil"/>
            </w:tcBorders>
            <w:shd w:val="clear" w:color="auto" w:fill="E8E8E8"/>
            <w:vAlign w:val="center"/>
          </w:tcPr>
          <w:p w14:paraId="1FB2AD37" w14:textId="77777777" w:rsidR="003F3C3C" w:rsidRDefault="00CD6B83">
            <w:pPr>
              <w:spacing w:after="0" w:line="259" w:lineRule="auto"/>
              <w:ind w:left="0" w:firstLine="0"/>
            </w:pPr>
            <w:r>
              <w:rPr>
                <w:rFonts w:ascii="Arial" w:eastAsia="Arial" w:hAnsi="Arial" w:cs="Arial"/>
                <w:b/>
                <w:sz w:val="19"/>
              </w:rPr>
              <w:t>Dormant accounts in top 20</w:t>
            </w:r>
            <w:r>
              <w:rPr>
                <w:rFonts w:ascii="Arial" w:eastAsia="Arial" w:hAnsi="Arial" w:cs="Arial"/>
                <w:color w:val="1F2937"/>
                <w:sz w:val="20"/>
              </w:rPr>
              <w:t xml:space="preserve"> </w:t>
            </w:r>
          </w:p>
        </w:tc>
        <w:tc>
          <w:tcPr>
            <w:tcW w:w="1600" w:type="dxa"/>
            <w:tcBorders>
              <w:top w:val="single" w:sz="4" w:space="0" w:color="1A1A1A"/>
              <w:left w:val="nil"/>
              <w:bottom w:val="single" w:sz="4" w:space="0" w:color="1A1A1A"/>
              <w:right w:val="nil"/>
            </w:tcBorders>
            <w:shd w:val="clear" w:color="auto" w:fill="E8E8E8"/>
            <w:vAlign w:val="center"/>
          </w:tcPr>
          <w:p w14:paraId="24ABCC08" w14:textId="77777777" w:rsidR="003F3C3C" w:rsidRDefault="00CD6B83">
            <w:pPr>
              <w:spacing w:after="0" w:line="259" w:lineRule="auto"/>
              <w:ind w:left="0" w:firstLine="0"/>
            </w:pPr>
            <w:r>
              <w:rPr>
                <w:rFonts w:ascii="Arial" w:eastAsia="Arial" w:hAnsi="Arial" w:cs="Arial"/>
                <w:b/>
                <w:sz w:val="19"/>
              </w:rPr>
              <w:t>Highest rank</w:t>
            </w:r>
            <w:r>
              <w:rPr>
                <w:rFonts w:ascii="Arial" w:eastAsia="Arial" w:hAnsi="Arial" w:cs="Arial"/>
                <w:color w:val="1F2937"/>
                <w:sz w:val="20"/>
              </w:rPr>
              <w:t xml:space="preserve"> </w:t>
            </w:r>
          </w:p>
        </w:tc>
        <w:tc>
          <w:tcPr>
            <w:tcW w:w="3202" w:type="dxa"/>
            <w:tcBorders>
              <w:top w:val="single" w:sz="4" w:space="0" w:color="1A1A1A"/>
              <w:left w:val="nil"/>
              <w:bottom w:val="single" w:sz="4" w:space="0" w:color="1A1A1A"/>
              <w:right w:val="nil"/>
            </w:tcBorders>
            <w:shd w:val="clear" w:color="auto" w:fill="E8E8E8"/>
            <w:vAlign w:val="center"/>
          </w:tcPr>
          <w:p w14:paraId="6DBF1975" w14:textId="77777777" w:rsidR="003F3C3C" w:rsidRDefault="00CD6B83">
            <w:pPr>
              <w:spacing w:after="0" w:line="259" w:lineRule="auto"/>
              <w:ind w:left="0" w:firstLine="0"/>
            </w:pPr>
            <w:r>
              <w:rPr>
                <w:rFonts w:ascii="Arial" w:eastAsia="Arial" w:hAnsi="Arial" w:cs="Arial"/>
                <w:b/>
                <w:sz w:val="19"/>
              </w:rPr>
              <w:t>Largest figure shown</w:t>
            </w:r>
            <w:r>
              <w:rPr>
                <w:rFonts w:ascii="Arial" w:eastAsia="Arial" w:hAnsi="Arial" w:cs="Arial"/>
                <w:color w:val="1F2937"/>
                <w:sz w:val="20"/>
              </w:rPr>
              <w:t xml:space="preserve"> </w:t>
            </w:r>
          </w:p>
        </w:tc>
      </w:tr>
      <w:tr w:rsidR="003F3C3C" w14:paraId="0C8CC221" w14:textId="77777777">
        <w:trPr>
          <w:trHeight w:val="467"/>
        </w:trPr>
        <w:tc>
          <w:tcPr>
            <w:tcW w:w="1961" w:type="dxa"/>
            <w:tcBorders>
              <w:top w:val="single" w:sz="4" w:space="0" w:color="1A1A1A"/>
              <w:left w:val="nil"/>
              <w:bottom w:val="single" w:sz="4" w:space="0" w:color="1A1A1A"/>
              <w:right w:val="nil"/>
            </w:tcBorders>
            <w:vAlign w:val="center"/>
          </w:tcPr>
          <w:p w14:paraId="63652C4B" w14:textId="77777777" w:rsidR="003F3C3C" w:rsidRDefault="00CD6B83">
            <w:pPr>
              <w:spacing w:after="0" w:line="259" w:lineRule="auto"/>
              <w:ind w:left="160" w:firstLine="0"/>
            </w:pPr>
            <w:r>
              <w:rPr>
                <w:rFonts w:ascii="Arial" w:eastAsia="Arial" w:hAnsi="Arial" w:cs="Arial"/>
                <w:sz w:val="19"/>
              </w:rPr>
              <w:t>Jul. 1</w:t>
            </w:r>
            <w:r>
              <w:rPr>
                <w:rFonts w:ascii="Arial" w:eastAsia="Arial" w:hAnsi="Arial" w:cs="Arial"/>
                <w:color w:val="1F2937"/>
                <w:sz w:val="20"/>
              </w:rPr>
              <w:t xml:space="preserve"> </w:t>
            </w:r>
          </w:p>
        </w:tc>
        <w:tc>
          <w:tcPr>
            <w:tcW w:w="2601" w:type="dxa"/>
            <w:tcBorders>
              <w:top w:val="single" w:sz="4" w:space="0" w:color="1A1A1A"/>
              <w:left w:val="nil"/>
              <w:bottom w:val="single" w:sz="4" w:space="0" w:color="1A1A1A"/>
              <w:right w:val="nil"/>
            </w:tcBorders>
            <w:vAlign w:val="center"/>
          </w:tcPr>
          <w:p w14:paraId="3B6115B5" w14:textId="77777777" w:rsidR="003F3C3C" w:rsidRDefault="00CD6B83">
            <w:pPr>
              <w:spacing w:after="0" w:line="259" w:lineRule="auto"/>
              <w:ind w:left="0" w:right="215" w:firstLine="0"/>
              <w:jc w:val="right"/>
            </w:pPr>
            <w:r>
              <w:rPr>
                <w:rFonts w:ascii="Arial" w:eastAsia="Arial" w:hAnsi="Arial" w:cs="Arial"/>
                <w:sz w:val="19"/>
              </w:rPr>
              <w:t>2</w:t>
            </w:r>
            <w:r>
              <w:rPr>
                <w:rFonts w:ascii="Arial" w:eastAsia="Arial" w:hAnsi="Arial" w:cs="Arial"/>
                <w:color w:val="1F2937"/>
                <w:sz w:val="20"/>
              </w:rPr>
              <w:t xml:space="preserve"> </w:t>
            </w:r>
          </w:p>
        </w:tc>
        <w:tc>
          <w:tcPr>
            <w:tcW w:w="1600" w:type="dxa"/>
            <w:tcBorders>
              <w:top w:val="single" w:sz="4" w:space="0" w:color="1A1A1A"/>
              <w:left w:val="nil"/>
              <w:bottom w:val="single" w:sz="4" w:space="0" w:color="1A1A1A"/>
              <w:right w:val="nil"/>
            </w:tcBorders>
            <w:vAlign w:val="center"/>
          </w:tcPr>
          <w:p w14:paraId="168AA024" w14:textId="77777777" w:rsidR="003F3C3C" w:rsidRDefault="00CD6B83">
            <w:pPr>
              <w:spacing w:after="0" w:line="259" w:lineRule="auto"/>
              <w:ind w:left="1070" w:firstLine="0"/>
            </w:pPr>
            <w:r>
              <w:rPr>
                <w:rFonts w:ascii="Arial" w:eastAsia="Arial" w:hAnsi="Arial" w:cs="Arial"/>
                <w:sz w:val="19"/>
              </w:rPr>
              <w:t>15</w:t>
            </w:r>
            <w:r>
              <w:rPr>
                <w:rFonts w:ascii="Arial" w:eastAsia="Arial" w:hAnsi="Arial" w:cs="Arial"/>
                <w:color w:val="1F2937"/>
                <w:sz w:val="20"/>
              </w:rPr>
              <w:t xml:space="preserve"> </w:t>
            </w:r>
          </w:p>
        </w:tc>
        <w:tc>
          <w:tcPr>
            <w:tcW w:w="3202" w:type="dxa"/>
            <w:tcBorders>
              <w:top w:val="single" w:sz="4" w:space="0" w:color="1A1A1A"/>
              <w:left w:val="nil"/>
              <w:bottom w:val="single" w:sz="4" w:space="0" w:color="1A1A1A"/>
              <w:right w:val="nil"/>
            </w:tcBorders>
            <w:vAlign w:val="center"/>
          </w:tcPr>
          <w:p w14:paraId="5F2E4152" w14:textId="77777777" w:rsidR="003F3C3C" w:rsidRDefault="00CD6B83">
            <w:pPr>
              <w:spacing w:after="0" w:line="259" w:lineRule="auto"/>
              <w:ind w:left="0" w:right="56" w:firstLine="0"/>
              <w:jc w:val="right"/>
            </w:pPr>
            <w:r>
              <w:rPr>
                <w:rFonts w:ascii="Arial" w:eastAsia="Arial" w:hAnsi="Arial" w:cs="Arial"/>
                <w:sz w:val="19"/>
              </w:rPr>
              <w:t>$100,287.23</w:t>
            </w:r>
            <w:r>
              <w:rPr>
                <w:rFonts w:ascii="Arial" w:eastAsia="Arial" w:hAnsi="Arial" w:cs="Arial"/>
                <w:color w:val="1F2937"/>
                <w:sz w:val="20"/>
              </w:rPr>
              <w:t xml:space="preserve"> </w:t>
            </w:r>
          </w:p>
        </w:tc>
      </w:tr>
      <w:tr w:rsidR="003F3C3C" w14:paraId="4F8BC02F" w14:textId="77777777">
        <w:trPr>
          <w:trHeight w:val="465"/>
        </w:trPr>
        <w:tc>
          <w:tcPr>
            <w:tcW w:w="1961" w:type="dxa"/>
            <w:tcBorders>
              <w:top w:val="single" w:sz="4" w:space="0" w:color="1A1A1A"/>
              <w:left w:val="nil"/>
              <w:bottom w:val="single" w:sz="4" w:space="0" w:color="1A1A1A"/>
              <w:right w:val="nil"/>
            </w:tcBorders>
            <w:vAlign w:val="center"/>
          </w:tcPr>
          <w:p w14:paraId="0F002F94" w14:textId="77777777" w:rsidR="003F3C3C" w:rsidRDefault="00CD6B83">
            <w:pPr>
              <w:spacing w:after="0" w:line="259" w:lineRule="auto"/>
              <w:ind w:left="160" w:firstLine="0"/>
            </w:pPr>
            <w:r>
              <w:rPr>
                <w:rFonts w:ascii="Arial" w:eastAsia="Arial" w:hAnsi="Arial" w:cs="Arial"/>
                <w:sz w:val="19"/>
              </w:rPr>
              <w:t>Aug. 2</w:t>
            </w:r>
            <w:r>
              <w:rPr>
                <w:rFonts w:ascii="Arial" w:eastAsia="Arial" w:hAnsi="Arial" w:cs="Arial"/>
                <w:color w:val="1F2937"/>
                <w:sz w:val="20"/>
              </w:rPr>
              <w:t xml:space="preserve"> </w:t>
            </w:r>
          </w:p>
        </w:tc>
        <w:tc>
          <w:tcPr>
            <w:tcW w:w="2601" w:type="dxa"/>
            <w:tcBorders>
              <w:top w:val="single" w:sz="4" w:space="0" w:color="1A1A1A"/>
              <w:left w:val="nil"/>
              <w:bottom w:val="single" w:sz="4" w:space="0" w:color="1A1A1A"/>
              <w:right w:val="nil"/>
            </w:tcBorders>
            <w:vAlign w:val="center"/>
          </w:tcPr>
          <w:p w14:paraId="152DEE1A" w14:textId="77777777" w:rsidR="003F3C3C" w:rsidRDefault="00CD6B83">
            <w:pPr>
              <w:spacing w:after="0" w:line="259" w:lineRule="auto"/>
              <w:ind w:left="0" w:right="215" w:firstLine="0"/>
              <w:jc w:val="right"/>
            </w:pPr>
            <w:r>
              <w:rPr>
                <w:rFonts w:ascii="Arial" w:eastAsia="Arial" w:hAnsi="Arial" w:cs="Arial"/>
                <w:sz w:val="19"/>
              </w:rPr>
              <w:t>3</w:t>
            </w:r>
            <w:r>
              <w:rPr>
                <w:rFonts w:ascii="Arial" w:eastAsia="Arial" w:hAnsi="Arial" w:cs="Arial"/>
                <w:color w:val="1F2937"/>
                <w:sz w:val="20"/>
              </w:rPr>
              <w:t xml:space="preserve"> </w:t>
            </w:r>
          </w:p>
        </w:tc>
        <w:tc>
          <w:tcPr>
            <w:tcW w:w="1600" w:type="dxa"/>
            <w:tcBorders>
              <w:top w:val="single" w:sz="4" w:space="0" w:color="1A1A1A"/>
              <w:left w:val="nil"/>
              <w:bottom w:val="single" w:sz="4" w:space="0" w:color="1A1A1A"/>
              <w:right w:val="nil"/>
            </w:tcBorders>
            <w:vAlign w:val="center"/>
          </w:tcPr>
          <w:p w14:paraId="1E140ACD" w14:textId="77777777" w:rsidR="003F3C3C" w:rsidRDefault="00CD6B83">
            <w:pPr>
              <w:spacing w:after="0" w:line="259" w:lineRule="auto"/>
              <w:ind w:left="1070" w:firstLine="0"/>
            </w:pPr>
            <w:r>
              <w:rPr>
                <w:rFonts w:ascii="Arial" w:eastAsia="Arial" w:hAnsi="Arial" w:cs="Arial"/>
                <w:sz w:val="19"/>
              </w:rPr>
              <w:t>12</w:t>
            </w:r>
            <w:r>
              <w:rPr>
                <w:rFonts w:ascii="Arial" w:eastAsia="Arial" w:hAnsi="Arial" w:cs="Arial"/>
                <w:color w:val="1F2937"/>
                <w:sz w:val="20"/>
              </w:rPr>
              <w:t xml:space="preserve"> </w:t>
            </w:r>
          </w:p>
        </w:tc>
        <w:tc>
          <w:tcPr>
            <w:tcW w:w="3202" w:type="dxa"/>
            <w:tcBorders>
              <w:top w:val="single" w:sz="4" w:space="0" w:color="1A1A1A"/>
              <w:left w:val="nil"/>
              <w:bottom w:val="single" w:sz="4" w:space="0" w:color="1A1A1A"/>
              <w:right w:val="nil"/>
            </w:tcBorders>
            <w:vAlign w:val="center"/>
          </w:tcPr>
          <w:p w14:paraId="01EF2C86" w14:textId="77777777" w:rsidR="003F3C3C" w:rsidRDefault="00CD6B83">
            <w:pPr>
              <w:spacing w:after="0" w:line="259" w:lineRule="auto"/>
              <w:ind w:left="0" w:right="56" w:firstLine="0"/>
              <w:jc w:val="right"/>
            </w:pPr>
            <w:r>
              <w:rPr>
                <w:rFonts w:ascii="Arial" w:eastAsia="Arial" w:hAnsi="Arial" w:cs="Arial"/>
                <w:sz w:val="19"/>
              </w:rPr>
              <w:t>$102,266.87</w:t>
            </w:r>
            <w:r>
              <w:rPr>
                <w:rFonts w:ascii="Arial" w:eastAsia="Arial" w:hAnsi="Arial" w:cs="Arial"/>
                <w:color w:val="1F2937"/>
                <w:sz w:val="20"/>
              </w:rPr>
              <w:t xml:space="preserve"> </w:t>
            </w:r>
          </w:p>
        </w:tc>
      </w:tr>
      <w:tr w:rsidR="003F3C3C" w14:paraId="18564252" w14:textId="77777777">
        <w:trPr>
          <w:trHeight w:val="470"/>
        </w:trPr>
        <w:tc>
          <w:tcPr>
            <w:tcW w:w="1961" w:type="dxa"/>
            <w:tcBorders>
              <w:top w:val="single" w:sz="4" w:space="0" w:color="1A1A1A"/>
              <w:left w:val="nil"/>
              <w:bottom w:val="single" w:sz="4" w:space="0" w:color="1A1A1A"/>
              <w:right w:val="nil"/>
            </w:tcBorders>
            <w:vAlign w:val="center"/>
          </w:tcPr>
          <w:p w14:paraId="3F58AB0F" w14:textId="77777777" w:rsidR="003F3C3C" w:rsidRDefault="00CD6B83">
            <w:pPr>
              <w:spacing w:after="0" w:line="259" w:lineRule="auto"/>
              <w:ind w:left="160" w:firstLine="0"/>
            </w:pPr>
            <w:r>
              <w:rPr>
                <w:rFonts w:ascii="Arial" w:eastAsia="Arial" w:hAnsi="Arial" w:cs="Arial"/>
                <w:sz w:val="19"/>
              </w:rPr>
              <w:t>Aug. 4</w:t>
            </w:r>
            <w:r>
              <w:rPr>
                <w:rFonts w:ascii="Arial" w:eastAsia="Arial" w:hAnsi="Arial" w:cs="Arial"/>
                <w:color w:val="1F2937"/>
                <w:sz w:val="20"/>
              </w:rPr>
              <w:t xml:space="preserve"> </w:t>
            </w:r>
          </w:p>
        </w:tc>
        <w:tc>
          <w:tcPr>
            <w:tcW w:w="2601" w:type="dxa"/>
            <w:tcBorders>
              <w:top w:val="single" w:sz="4" w:space="0" w:color="1A1A1A"/>
              <w:left w:val="nil"/>
              <w:bottom w:val="single" w:sz="4" w:space="0" w:color="1A1A1A"/>
              <w:right w:val="nil"/>
            </w:tcBorders>
            <w:vAlign w:val="center"/>
          </w:tcPr>
          <w:p w14:paraId="47A74314" w14:textId="77777777" w:rsidR="003F3C3C" w:rsidRDefault="00CD6B83">
            <w:pPr>
              <w:spacing w:after="0" w:line="259" w:lineRule="auto"/>
              <w:ind w:left="0" w:right="215" w:firstLine="0"/>
              <w:jc w:val="right"/>
            </w:pPr>
            <w:r>
              <w:rPr>
                <w:rFonts w:ascii="Arial" w:eastAsia="Arial" w:hAnsi="Arial" w:cs="Arial"/>
                <w:sz w:val="19"/>
              </w:rPr>
              <w:t>2</w:t>
            </w:r>
            <w:r>
              <w:rPr>
                <w:rFonts w:ascii="Arial" w:eastAsia="Arial" w:hAnsi="Arial" w:cs="Arial"/>
                <w:color w:val="1F2937"/>
                <w:sz w:val="20"/>
              </w:rPr>
              <w:t xml:space="preserve"> </w:t>
            </w:r>
          </w:p>
        </w:tc>
        <w:tc>
          <w:tcPr>
            <w:tcW w:w="1600" w:type="dxa"/>
            <w:tcBorders>
              <w:top w:val="single" w:sz="4" w:space="0" w:color="1A1A1A"/>
              <w:left w:val="nil"/>
              <w:bottom w:val="single" w:sz="4" w:space="0" w:color="1A1A1A"/>
              <w:right w:val="nil"/>
            </w:tcBorders>
            <w:vAlign w:val="center"/>
          </w:tcPr>
          <w:p w14:paraId="76C52DEE" w14:textId="77777777" w:rsidR="003F3C3C" w:rsidRDefault="00CD6B83">
            <w:pPr>
              <w:spacing w:after="0" w:line="259" w:lineRule="auto"/>
              <w:ind w:left="1070" w:firstLine="0"/>
            </w:pPr>
            <w:r>
              <w:rPr>
                <w:rFonts w:ascii="Arial" w:eastAsia="Arial" w:hAnsi="Arial" w:cs="Arial"/>
                <w:sz w:val="19"/>
              </w:rPr>
              <w:t>16</w:t>
            </w:r>
            <w:r>
              <w:rPr>
                <w:rFonts w:ascii="Arial" w:eastAsia="Arial" w:hAnsi="Arial" w:cs="Arial"/>
                <w:color w:val="1F2937"/>
                <w:sz w:val="20"/>
              </w:rPr>
              <w:t xml:space="preserve"> </w:t>
            </w:r>
          </w:p>
        </w:tc>
        <w:tc>
          <w:tcPr>
            <w:tcW w:w="3202" w:type="dxa"/>
            <w:tcBorders>
              <w:top w:val="single" w:sz="4" w:space="0" w:color="1A1A1A"/>
              <w:left w:val="nil"/>
              <w:bottom w:val="single" w:sz="4" w:space="0" w:color="1A1A1A"/>
              <w:right w:val="nil"/>
            </w:tcBorders>
            <w:vAlign w:val="center"/>
          </w:tcPr>
          <w:p w14:paraId="057FF13C" w14:textId="77777777" w:rsidR="003F3C3C" w:rsidRDefault="00CD6B83">
            <w:pPr>
              <w:spacing w:after="0" w:line="259" w:lineRule="auto"/>
              <w:ind w:left="0" w:right="56" w:firstLine="0"/>
              <w:jc w:val="right"/>
            </w:pPr>
            <w:r>
              <w:rPr>
                <w:rFonts w:ascii="Arial" w:eastAsia="Arial" w:hAnsi="Arial" w:cs="Arial"/>
                <w:sz w:val="19"/>
              </w:rPr>
              <w:t>$102,266.87</w:t>
            </w:r>
            <w:r>
              <w:rPr>
                <w:rFonts w:ascii="Arial" w:eastAsia="Arial" w:hAnsi="Arial" w:cs="Arial"/>
                <w:color w:val="1F2937"/>
                <w:sz w:val="20"/>
              </w:rPr>
              <w:t xml:space="preserve"> </w:t>
            </w:r>
          </w:p>
        </w:tc>
      </w:tr>
      <w:tr w:rsidR="003F3C3C" w14:paraId="1A1520D6" w14:textId="77777777">
        <w:trPr>
          <w:trHeight w:val="466"/>
        </w:trPr>
        <w:tc>
          <w:tcPr>
            <w:tcW w:w="1961" w:type="dxa"/>
            <w:tcBorders>
              <w:top w:val="single" w:sz="4" w:space="0" w:color="1A1A1A"/>
              <w:left w:val="nil"/>
              <w:bottom w:val="single" w:sz="4" w:space="0" w:color="1A1A1A"/>
              <w:right w:val="nil"/>
            </w:tcBorders>
            <w:vAlign w:val="center"/>
          </w:tcPr>
          <w:p w14:paraId="403B0E1E" w14:textId="77777777" w:rsidR="003F3C3C" w:rsidRDefault="00CD6B83">
            <w:pPr>
              <w:spacing w:after="0" w:line="259" w:lineRule="auto"/>
              <w:ind w:left="160" w:firstLine="0"/>
            </w:pPr>
            <w:r>
              <w:rPr>
                <w:rFonts w:ascii="Arial" w:eastAsia="Arial" w:hAnsi="Arial" w:cs="Arial"/>
                <w:sz w:val="19"/>
              </w:rPr>
              <w:t>Sep. 1</w:t>
            </w:r>
            <w:r>
              <w:rPr>
                <w:rFonts w:ascii="Arial" w:eastAsia="Arial" w:hAnsi="Arial" w:cs="Arial"/>
                <w:color w:val="1F2937"/>
                <w:sz w:val="20"/>
              </w:rPr>
              <w:t xml:space="preserve"> </w:t>
            </w:r>
          </w:p>
        </w:tc>
        <w:tc>
          <w:tcPr>
            <w:tcW w:w="2601" w:type="dxa"/>
            <w:tcBorders>
              <w:top w:val="single" w:sz="4" w:space="0" w:color="1A1A1A"/>
              <w:left w:val="nil"/>
              <w:bottom w:val="single" w:sz="4" w:space="0" w:color="1A1A1A"/>
              <w:right w:val="nil"/>
            </w:tcBorders>
            <w:vAlign w:val="center"/>
          </w:tcPr>
          <w:p w14:paraId="349975EE" w14:textId="77777777" w:rsidR="003F3C3C" w:rsidRDefault="00CD6B83">
            <w:pPr>
              <w:spacing w:after="0" w:line="259" w:lineRule="auto"/>
              <w:ind w:left="0" w:right="215" w:firstLine="0"/>
              <w:jc w:val="right"/>
            </w:pPr>
            <w:r>
              <w:rPr>
                <w:rFonts w:ascii="Arial" w:eastAsia="Arial" w:hAnsi="Arial" w:cs="Arial"/>
                <w:sz w:val="19"/>
              </w:rPr>
              <w:t>4</w:t>
            </w:r>
            <w:r>
              <w:rPr>
                <w:rFonts w:ascii="Arial" w:eastAsia="Arial" w:hAnsi="Arial" w:cs="Arial"/>
                <w:color w:val="1F2937"/>
                <w:sz w:val="20"/>
              </w:rPr>
              <w:t xml:space="preserve"> </w:t>
            </w:r>
          </w:p>
        </w:tc>
        <w:tc>
          <w:tcPr>
            <w:tcW w:w="1600" w:type="dxa"/>
            <w:tcBorders>
              <w:top w:val="single" w:sz="4" w:space="0" w:color="1A1A1A"/>
              <w:left w:val="nil"/>
              <w:bottom w:val="single" w:sz="4" w:space="0" w:color="1A1A1A"/>
              <w:right w:val="nil"/>
            </w:tcBorders>
            <w:vAlign w:val="center"/>
          </w:tcPr>
          <w:p w14:paraId="7E4E0DEA" w14:textId="77777777" w:rsidR="003F3C3C" w:rsidRDefault="00CD6B83">
            <w:pPr>
              <w:spacing w:after="0" w:line="259" w:lineRule="auto"/>
              <w:ind w:left="1175" w:firstLine="0"/>
            </w:pPr>
            <w:r>
              <w:rPr>
                <w:rFonts w:ascii="Arial" w:eastAsia="Arial" w:hAnsi="Arial" w:cs="Arial"/>
                <w:sz w:val="19"/>
              </w:rPr>
              <w:t>6</w:t>
            </w:r>
            <w:r>
              <w:rPr>
                <w:rFonts w:ascii="Arial" w:eastAsia="Arial" w:hAnsi="Arial" w:cs="Arial"/>
                <w:color w:val="1F2937"/>
                <w:sz w:val="20"/>
              </w:rPr>
              <w:t xml:space="preserve"> </w:t>
            </w:r>
          </w:p>
        </w:tc>
        <w:tc>
          <w:tcPr>
            <w:tcW w:w="3202" w:type="dxa"/>
            <w:tcBorders>
              <w:top w:val="single" w:sz="4" w:space="0" w:color="1A1A1A"/>
              <w:left w:val="nil"/>
              <w:bottom w:val="single" w:sz="4" w:space="0" w:color="1A1A1A"/>
              <w:right w:val="nil"/>
            </w:tcBorders>
            <w:vAlign w:val="center"/>
          </w:tcPr>
          <w:p w14:paraId="1378BDC6" w14:textId="77777777" w:rsidR="003F3C3C" w:rsidRDefault="00CD6B83">
            <w:pPr>
              <w:spacing w:after="0" w:line="259" w:lineRule="auto"/>
              <w:ind w:left="0" w:right="56" w:firstLine="0"/>
              <w:jc w:val="right"/>
            </w:pPr>
            <w:r>
              <w:rPr>
                <w:rFonts w:ascii="Arial" w:eastAsia="Arial" w:hAnsi="Arial" w:cs="Arial"/>
                <w:sz w:val="19"/>
              </w:rPr>
              <w:t>$100,287.23</w:t>
            </w:r>
            <w:r>
              <w:rPr>
                <w:rFonts w:ascii="Arial" w:eastAsia="Arial" w:hAnsi="Arial" w:cs="Arial"/>
                <w:color w:val="1F2937"/>
                <w:sz w:val="20"/>
              </w:rPr>
              <w:t xml:space="preserve"> </w:t>
            </w:r>
          </w:p>
        </w:tc>
      </w:tr>
      <w:tr w:rsidR="003F3C3C" w14:paraId="45EA50C9" w14:textId="77777777">
        <w:trPr>
          <w:trHeight w:val="465"/>
        </w:trPr>
        <w:tc>
          <w:tcPr>
            <w:tcW w:w="1961" w:type="dxa"/>
            <w:tcBorders>
              <w:top w:val="single" w:sz="4" w:space="0" w:color="1A1A1A"/>
              <w:left w:val="nil"/>
              <w:bottom w:val="single" w:sz="4" w:space="0" w:color="1A1A1A"/>
              <w:right w:val="nil"/>
            </w:tcBorders>
            <w:vAlign w:val="center"/>
          </w:tcPr>
          <w:p w14:paraId="3799654B" w14:textId="77777777" w:rsidR="003F3C3C" w:rsidRDefault="00CD6B83">
            <w:pPr>
              <w:spacing w:after="0" w:line="259" w:lineRule="auto"/>
              <w:ind w:left="160" w:firstLine="0"/>
            </w:pPr>
            <w:r>
              <w:rPr>
                <w:rFonts w:ascii="Arial" w:eastAsia="Arial" w:hAnsi="Arial" w:cs="Arial"/>
                <w:sz w:val="19"/>
              </w:rPr>
              <w:t>Sep. 4</w:t>
            </w:r>
            <w:r>
              <w:rPr>
                <w:rFonts w:ascii="Arial" w:eastAsia="Arial" w:hAnsi="Arial" w:cs="Arial"/>
                <w:color w:val="1F2937"/>
                <w:sz w:val="20"/>
              </w:rPr>
              <w:t xml:space="preserve"> </w:t>
            </w:r>
          </w:p>
        </w:tc>
        <w:tc>
          <w:tcPr>
            <w:tcW w:w="2601" w:type="dxa"/>
            <w:tcBorders>
              <w:top w:val="single" w:sz="4" w:space="0" w:color="1A1A1A"/>
              <w:left w:val="nil"/>
              <w:bottom w:val="single" w:sz="4" w:space="0" w:color="1A1A1A"/>
              <w:right w:val="nil"/>
            </w:tcBorders>
            <w:vAlign w:val="center"/>
          </w:tcPr>
          <w:p w14:paraId="12CFC6E4" w14:textId="77777777" w:rsidR="003F3C3C" w:rsidRDefault="00CD6B83">
            <w:pPr>
              <w:spacing w:after="0" w:line="259" w:lineRule="auto"/>
              <w:ind w:left="0" w:right="215" w:firstLine="0"/>
              <w:jc w:val="right"/>
            </w:pPr>
            <w:r>
              <w:rPr>
                <w:rFonts w:ascii="Arial" w:eastAsia="Arial" w:hAnsi="Arial" w:cs="Arial"/>
                <w:sz w:val="19"/>
              </w:rPr>
              <w:t>3</w:t>
            </w:r>
            <w:r>
              <w:rPr>
                <w:rFonts w:ascii="Arial" w:eastAsia="Arial" w:hAnsi="Arial" w:cs="Arial"/>
                <w:color w:val="1F2937"/>
                <w:sz w:val="20"/>
              </w:rPr>
              <w:t xml:space="preserve"> </w:t>
            </w:r>
          </w:p>
        </w:tc>
        <w:tc>
          <w:tcPr>
            <w:tcW w:w="1600" w:type="dxa"/>
            <w:tcBorders>
              <w:top w:val="single" w:sz="4" w:space="0" w:color="1A1A1A"/>
              <w:left w:val="nil"/>
              <w:bottom w:val="single" w:sz="4" w:space="0" w:color="1A1A1A"/>
              <w:right w:val="nil"/>
            </w:tcBorders>
            <w:vAlign w:val="center"/>
          </w:tcPr>
          <w:p w14:paraId="480DC7BC" w14:textId="77777777" w:rsidR="003F3C3C" w:rsidRDefault="00CD6B83">
            <w:pPr>
              <w:spacing w:after="0" w:line="259" w:lineRule="auto"/>
              <w:ind w:left="1070" w:firstLine="0"/>
            </w:pPr>
            <w:r>
              <w:rPr>
                <w:rFonts w:ascii="Arial" w:eastAsia="Arial" w:hAnsi="Arial" w:cs="Arial"/>
                <w:sz w:val="19"/>
              </w:rPr>
              <w:t>15</w:t>
            </w:r>
            <w:r>
              <w:rPr>
                <w:rFonts w:ascii="Arial" w:eastAsia="Arial" w:hAnsi="Arial" w:cs="Arial"/>
                <w:color w:val="1F2937"/>
                <w:sz w:val="20"/>
              </w:rPr>
              <w:t xml:space="preserve"> </w:t>
            </w:r>
          </w:p>
        </w:tc>
        <w:tc>
          <w:tcPr>
            <w:tcW w:w="3202" w:type="dxa"/>
            <w:tcBorders>
              <w:top w:val="single" w:sz="4" w:space="0" w:color="1A1A1A"/>
              <w:left w:val="nil"/>
              <w:bottom w:val="single" w:sz="4" w:space="0" w:color="1A1A1A"/>
              <w:right w:val="nil"/>
            </w:tcBorders>
            <w:vAlign w:val="center"/>
          </w:tcPr>
          <w:p w14:paraId="53B445E5" w14:textId="77777777" w:rsidR="003F3C3C" w:rsidRDefault="00CD6B83">
            <w:pPr>
              <w:spacing w:after="0" w:line="259" w:lineRule="auto"/>
              <w:ind w:left="0" w:right="56" w:firstLine="0"/>
              <w:jc w:val="right"/>
            </w:pPr>
            <w:r>
              <w:rPr>
                <w:rFonts w:ascii="Arial" w:eastAsia="Arial" w:hAnsi="Arial" w:cs="Arial"/>
                <w:sz w:val="19"/>
              </w:rPr>
              <w:t>$102,266.87</w:t>
            </w:r>
            <w:r>
              <w:rPr>
                <w:rFonts w:ascii="Arial" w:eastAsia="Arial" w:hAnsi="Arial" w:cs="Arial"/>
                <w:color w:val="1F2937"/>
                <w:sz w:val="20"/>
              </w:rPr>
              <w:t xml:space="preserve"> </w:t>
            </w:r>
          </w:p>
        </w:tc>
      </w:tr>
    </w:tbl>
    <w:p w14:paraId="492A0CC1" w14:textId="77777777" w:rsidR="003F3C3C" w:rsidRDefault="00CD6B83">
      <w:pPr>
        <w:spacing w:after="243" w:line="259" w:lineRule="auto"/>
        <w:ind w:left="0" w:firstLine="0"/>
      </w:pPr>
      <w:r>
        <w:t xml:space="preserve"> </w:t>
      </w:r>
    </w:p>
    <w:p w14:paraId="6D382ADE" w14:textId="77777777" w:rsidR="003F3C3C" w:rsidRDefault="00CD6B83">
      <w:pPr>
        <w:spacing w:after="473"/>
        <w:ind w:left="-5" w:right="4"/>
      </w:pPr>
      <w:r>
        <w:t>The historical amounts explain how dormant accounts could qualify for high ranks, but they do not explain every appearance and disappearance. On September 3, for example, some accounts appeared, disappeared and returned while the profit threshold for entering the top 20 was falling. That indicates a second inclusion or feed behavior that remains unresolved.</w:t>
      </w:r>
      <w:r>
        <w:rPr>
          <w:rFonts w:ascii="Arial" w:eastAsia="Arial" w:hAnsi="Arial" w:cs="Arial"/>
          <w:color w:val="1F2937"/>
          <w:sz w:val="20"/>
        </w:rPr>
        <w:t xml:space="preserve"> </w:t>
      </w:r>
    </w:p>
    <w:p w14:paraId="1ED16FED" w14:textId="77777777" w:rsidR="003F3C3C" w:rsidRDefault="00CD6B83">
      <w:pPr>
        <w:pStyle w:val="Heading1"/>
        <w:ind w:left="-5"/>
      </w:pPr>
      <w:r>
        <w:t>Case 4: a losing account was shown as a $980,000 winner</w:t>
      </w:r>
      <w:r>
        <w:rPr>
          <w:rFonts w:ascii="Calibri" w:eastAsia="Calibri" w:hAnsi="Calibri" w:cs="Calibri"/>
          <w:color w:val="1F2937"/>
          <w:sz w:val="34"/>
        </w:rPr>
        <w:t xml:space="preserve"> </w:t>
      </w:r>
    </w:p>
    <w:p w14:paraId="63BF9284" w14:textId="77777777" w:rsidR="003F3C3C" w:rsidRDefault="00CD6B83">
      <w:pPr>
        <w:spacing w:after="234" w:line="259" w:lineRule="auto"/>
        <w:ind w:left="-30" w:right="-40" w:firstLine="0"/>
      </w:pPr>
      <w:r>
        <w:rPr>
          <w:rFonts w:ascii="Calibri" w:eastAsia="Calibri" w:hAnsi="Calibri" w:cs="Calibri"/>
          <w:noProof/>
          <w:color w:val="000000"/>
        </w:rPr>
        <mc:AlternateContent>
          <mc:Choice Requires="wpg">
            <w:drawing>
              <wp:inline distT="0" distB="0" distL="0" distR="0" wp14:anchorId="644D756F" wp14:editId="0A9F1D76">
                <wp:extent cx="5984241" cy="9525"/>
                <wp:effectExtent l="0" t="0" r="0" b="0"/>
                <wp:docPr id="14533" name="Group 14533"/>
                <wp:cNvGraphicFramePr/>
                <a:graphic xmlns:a="http://schemas.openxmlformats.org/drawingml/2006/main">
                  <a:graphicData uri="http://schemas.microsoft.com/office/word/2010/wordprocessingGroup">
                    <wpg:wgp>
                      <wpg:cNvGrpSpPr/>
                      <wpg:grpSpPr>
                        <a:xfrm>
                          <a:off x="0" y="0"/>
                          <a:ext cx="5984241" cy="9525"/>
                          <a:chOff x="0" y="0"/>
                          <a:chExt cx="5984241" cy="9525"/>
                        </a:xfrm>
                      </wpg:grpSpPr>
                      <wps:wsp>
                        <wps:cNvPr id="15489" name="Shape 15489"/>
                        <wps:cNvSpPr/>
                        <wps:spPr>
                          <a:xfrm>
                            <a:off x="0" y="0"/>
                            <a:ext cx="5984241" cy="9525"/>
                          </a:xfrm>
                          <a:custGeom>
                            <a:avLst/>
                            <a:gdLst/>
                            <a:ahLst/>
                            <a:cxnLst/>
                            <a:rect l="0" t="0" r="0" b="0"/>
                            <a:pathLst>
                              <a:path w="5984241" h="9525">
                                <a:moveTo>
                                  <a:pt x="0" y="0"/>
                                </a:moveTo>
                                <a:lnTo>
                                  <a:pt x="5984241" y="0"/>
                                </a:lnTo>
                                <a:lnTo>
                                  <a:pt x="5984241" y="9525"/>
                                </a:lnTo>
                                <a:lnTo>
                                  <a:pt x="0" y="9525"/>
                                </a:lnTo>
                                <a:lnTo>
                                  <a:pt x="0" y="0"/>
                                </a:lnTo>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inline>
            </w:drawing>
          </mc:Choice>
          <mc:Fallback xmlns:a="http://schemas.openxmlformats.org/drawingml/2006/main">
            <w:pict>
              <v:group id="Group 14533" style="width:471.2pt;height:0.75pt;mso-position-horizontal-relative:char;mso-position-vertical-relative:line" coordsize="59842,95">
                <v:shape id="Shape 15490" style="position:absolute;width:59842;height:95;left:0;top:0;" coordsize="5984241,9525" path="m0,0l5984241,0l5984241,9525l0,9525l0,0">
                  <v:stroke weight="0pt" endcap="flat" joinstyle="miter" miterlimit="10" on="false" color="#000000" opacity="0"/>
                  <v:fill on="true" color="#1a1a1a"/>
                </v:shape>
              </v:group>
            </w:pict>
          </mc:Fallback>
        </mc:AlternateContent>
      </w:r>
    </w:p>
    <w:p w14:paraId="4764AD5E" w14:textId="77777777" w:rsidR="003F3C3C" w:rsidRDefault="00CD6B83">
      <w:pPr>
        <w:ind w:left="-5" w:right="4"/>
      </w:pPr>
      <w:r>
        <w:t>On May 6, Polymarket's website ranked a wallet described as a marketing account and linked to the Gravia copy-trading service third for the month, with $980,352.94 in profit. MSR's reconstruction of the wallet's trades and payouts instead showed a loss of approximately $5,268.</w:t>
      </w:r>
      <w:r>
        <w:rPr>
          <w:rFonts w:ascii="Arial" w:eastAsia="Arial" w:hAnsi="Arial" w:cs="Arial"/>
          <w:color w:val="1F2937"/>
          <w:sz w:val="20"/>
        </w:rPr>
        <w:t xml:space="preserve"> </w:t>
      </w:r>
    </w:p>
    <w:p w14:paraId="7C5BB9B3" w14:textId="77777777" w:rsidR="003F3C3C" w:rsidRDefault="00CD6B83">
      <w:pPr>
        <w:ind w:left="-5" w:right="4"/>
      </w:pPr>
      <w:r>
        <w:t>The account repeatedly created and redeemed matching Yes and No shares. A complete Yes/No pair is worth $1: depositing $1 creates the pair, and redeeming the pair returns that same $1. Returning the original dollar is not itself a dollar of trading profit. The observed error followed the introduction of new settlement software on April 29. Among 42 accounts examined closely during the following nine-day window, six had confirmed unsupported profit credits.</w:t>
      </w:r>
      <w:r>
        <w:rPr>
          <w:rFonts w:ascii="Arial" w:eastAsia="Arial" w:hAnsi="Arial" w:cs="Arial"/>
          <w:color w:val="1F2937"/>
          <w:sz w:val="20"/>
        </w:rPr>
        <w:t xml:space="preserve"> </w:t>
      </w:r>
    </w:p>
    <w:p w14:paraId="65EFFDF6" w14:textId="77777777" w:rsidR="003F3C3C" w:rsidRDefault="00CD6B83">
      <w:pPr>
        <w:spacing w:after="233"/>
        <w:ind w:left="-5" w:right="4"/>
      </w:pPr>
      <w:r>
        <w:t>At 18:00 UTC on May 8, the inflated totals were reset. An unrelated account's $65,855.16 credit disappeared in the same hour. The reset changed the published profit figures; it was not evidence that funds left the affected wallets at that moment.</w:t>
      </w:r>
      <w:r>
        <w:rPr>
          <w:rFonts w:ascii="Arial" w:eastAsia="Arial" w:hAnsi="Arial" w:cs="Arial"/>
          <w:color w:val="1F2937"/>
          <w:sz w:val="20"/>
        </w:rPr>
        <w:t xml:space="preserve"> </w:t>
      </w:r>
    </w:p>
    <w:p w14:paraId="42EEC2F9" w14:textId="77777777" w:rsidR="003F3C3C" w:rsidRDefault="00CD6B83">
      <w:pPr>
        <w:pStyle w:val="Heading2"/>
        <w:ind w:left="-5"/>
      </w:pPr>
      <w:r>
        <w:t>WHAT THIS CASE DEMONSTRATES</w:t>
      </w:r>
      <w:r>
        <w:rPr>
          <w:rFonts w:ascii="Calibri" w:eastAsia="Calibri" w:hAnsi="Calibri" w:cs="Calibri"/>
          <w:color w:val="1D697D"/>
          <w:sz w:val="25"/>
        </w:rPr>
        <w:t xml:space="preserve"> </w:t>
      </w:r>
    </w:p>
    <w:p w14:paraId="5CBAA6EB" w14:textId="77777777" w:rsidR="003F3C3C" w:rsidRDefault="00CD6B83">
      <w:pPr>
        <w:spacing w:after="468"/>
        <w:ind w:left="-5" w:right="4"/>
      </w:pPr>
      <w:r>
        <w:t>A settlement or accounting pathway can create a large public PnL number even when the underlying transactions do not produce that gain. The problem is not the existence of the transactions; it is how they are translated into a profit field.</w:t>
      </w:r>
      <w:r>
        <w:rPr>
          <w:rFonts w:ascii="Arial" w:eastAsia="Arial" w:hAnsi="Arial" w:cs="Arial"/>
          <w:color w:val="1F2937"/>
          <w:sz w:val="20"/>
        </w:rPr>
        <w:t xml:space="preserve"> </w:t>
      </w:r>
    </w:p>
    <w:p w14:paraId="7FA264C0" w14:textId="77777777" w:rsidR="003F3C3C" w:rsidRDefault="00CD6B83">
      <w:pPr>
        <w:pStyle w:val="Heading1"/>
        <w:ind w:left="-5"/>
      </w:pPr>
      <w:r>
        <w:t>Case 5: lifetime profit became one day's profit</w:t>
      </w:r>
      <w:r>
        <w:rPr>
          <w:rFonts w:ascii="Calibri" w:eastAsia="Calibri" w:hAnsi="Calibri" w:cs="Calibri"/>
          <w:color w:val="1F2937"/>
          <w:sz w:val="34"/>
        </w:rPr>
        <w:t xml:space="preserve"> </w:t>
      </w:r>
    </w:p>
    <w:p w14:paraId="140022B9" w14:textId="77777777" w:rsidR="003F3C3C" w:rsidRDefault="00CD6B83">
      <w:pPr>
        <w:spacing w:after="234" w:line="259" w:lineRule="auto"/>
        <w:ind w:left="-30" w:right="-40" w:firstLine="0"/>
      </w:pPr>
      <w:r>
        <w:rPr>
          <w:rFonts w:ascii="Calibri" w:eastAsia="Calibri" w:hAnsi="Calibri" w:cs="Calibri"/>
          <w:noProof/>
          <w:color w:val="000000"/>
        </w:rPr>
        <mc:AlternateContent>
          <mc:Choice Requires="wpg">
            <w:drawing>
              <wp:inline distT="0" distB="0" distL="0" distR="0" wp14:anchorId="1539EE31" wp14:editId="6A739BB9">
                <wp:extent cx="5984241" cy="9525"/>
                <wp:effectExtent l="0" t="0" r="0" b="0"/>
                <wp:docPr id="12851" name="Group 12851"/>
                <wp:cNvGraphicFramePr/>
                <a:graphic xmlns:a="http://schemas.openxmlformats.org/drawingml/2006/main">
                  <a:graphicData uri="http://schemas.microsoft.com/office/word/2010/wordprocessingGroup">
                    <wpg:wgp>
                      <wpg:cNvGrpSpPr/>
                      <wpg:grpSpPr>
                        <a:xfrm>
                          <a:off x="0" y="0"/>
                          <a:ext cx="5984241" cy="9525"/>
                          <a:chOff x="0" y="0"/>
                          <a:chExt cx="5984241" cy="9525"/>
                        </a:xfrm>
                      </wpg:grpSpPr>
                      <wps:wsp>
                        <wps:cNvPr id="15491" name="Shape 15491"/>
                        <wps:cNvSpPr/>
                        <wps:spPr>
                          <a:xfrm>
                            <a:off x="0" y="0"/>
                            <a:ext cx="5984241" cy="9525"/>
                          </a:xfrm>
                          <a:custGeom>
                            <a:avLst/>
                            <a:gdLst/>
                            <a:ahLst/>
                            <a:cxnLst/>
                            <a:rect l="0" t="0" r="0" b="0"/>
                            <a:pathLst>
                              <a:path w="5984241" h="9525">
                                <a:moveTo>
                                  <a:pt x="0" y="0"/>
                                </a:moveTo>
                                <a:lnTo>
                                  <a:pt x="5984241" y="0"/>
                                </a:lnTo>
                                <a:lnTo>
                                  <a:pt x="5984241" y="9525"/>
                                </a:lnTo>
                                <a:lnTo>
                                  <a:pt x="0" y="9525"/>
                                </a:lnTo>
                                <a:lnTo>
                                  <a:pt x="0" y="0"/>
                                </a:lnTo>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inline>
            </w:drawing>
          </mc:Choice>
          <mc:Fallback xmlns:a="http://schemas.openxmlformats.org/drawingml/2006/main">
            <w:pict>
              <v:group id="Group 12851" style="width:471.2pt;height:0.75pt;mso-position-horizontal-relative:char;mso-position-vertical-relative:line" coordsize="59842,95">
                <v:shape id="Shape 15492" style="position:absolute;width:59842;height:95;left:0;top:0;" coordsize="5984241,9525" path="m0,0l5984241,0l5984241,9525l0,9525l0,0">
                  <v:stroke weight="0pt" endcap="flat" joinstyle="miter" miterlimit="10" on="false" color="#000000" opacity="0"/>
                  <v:fill on="true" color="#1a1a1a"/>
                </v:shape>
              </v:group>
            </w:pict>
          </mc:Fallback>
        </mc:AlternateContent>
      </w:r>
    </w:p>
    <w:p w14:paraId="6440C82E" w14:textId="77777777" w:rsidR="003F3C3C" w:rsidRDefault="00CD6B83">
      <w:pPr>
        <w:ind w:left="-5" w:right="4"/>
      </w:pPr>
      <w:r>
        <w:t xml:space="preserve">On June 23, Polymarket's public feed ranked Inaccuratestake </w:t>
      </w:r>
      <w:r>
        <w:t>first for daily profit with $3,987,825.07 even though the account had made no gain that day. The displayed number was its accumulated lifetime profit presented as though it had all been earned since midnight.</w:t>
      </w:r>
      <w:r>
        <w:rPr>
          <w:rFonts w:ascii="Arial" w:eastAsia="Arial" w:hAnsi="Arial" w:cs="Arial"/>
          <w:color w:val="1F2937"/>
          <w:sz w:val="20"/>
        </w:rPr>
        <w:t xml:space="preserve"> </w:t>
      </w:r>
    </w:p>
    <w:p w14:paraId="244C76A9" w14:textId="77777777" w:rsidR="003F3C3C" w:rsidRDefault="00CD6B83">
      <w:pPr>
        <w:ind w:left="-5" w:right="4"/>
      </w:pPr>
      <w:r>
        <w:t>The accounting mechanism is straightforward. A day's PnL requires a current cumulative profit value and a starting value at midnight. If the midnight value is missing and the system effectively substitutes zero, lifetime profit can appear as new daily profit.</w:t>
      </w:r>
      <w:r>
        <w:rPr>
          <w:rFonts w:ascii="Arial" w:eastAsia="Arial" w:hAnsi="Arial" w:cs="Arial"/>
          <w:color w:val="1F2937"/>
          <w:sz w:val="20"/>
        </w:rPr>
        <w:t xml:space="preserve"> </w:t>
      </w:r>
    </w:p>
    <w:p w14:paraId="24710517" w14:textId="77777777" w:rsidR="003F3C3C" w:rsidRDefault="00CD6B83">
      <w:pPr>
        <w:ind w:left="-5" w:right="4"/>
      </w:pPr>
      <w:r>
        <w:t>The overnight data contained a several-</w:t>
      </w:r>
      <w:r>
        <w:t>hour gap that left some accounts without a midnight starting record. Among 64 examined accounts, 35 had earned nothing that day but were shown with combined daily profits of $6,186,805.38.</w:t>
      </w:r>
      <w:r>
        <w:rPr>
          <w:rFonts w:ascii="Arial" w:eastAsia="Arial" w:hAnsi="Arial" w:cs="Arial"/>
          <w:color w:val="1F2937"/>
          <w:sz w:val="20"/>
        </w:rPr>
        <w:t xml:space="preserve"> </w:t>
      </w:r>
    </w:p>
    <w:p w14:paraId="1EDD1913" w14:textId="77777777" w:rsidR="003F3C3C" w:rsidRDefault="00CD6B83">
      <w:pPr>
        <w:spacing w:after="0"/>
        <w:ind w:left="-5" w:right="4"/>
      </w:pPr>
      <w:r>
        <w:t>MSR then tested 103 accounts selected by a predetermined rule rather than because their figures looked suspicious. The error appeared in six of the seven accounts missing a midnight record and in none of the 96 accounts that had one. That comparison ties the June anomaly to the missing starting values rather than merely identifying unusually large winners.</w:t>
      </w:r>
      <w:r>
        <w:rPr>
          <w:rFonts w:ascii="Arial" w:eastAsia="Arial" w:hAnsi="Arial" w:cs="Arial"/>
          <w:color w:val="1F2937"/>
          <w:sz w:val="20"/>
        </w:rPr>
        <w:t xml:space="preserve"> </w:t>
      </w:r>
    </w:p>
    <w:tbl>
      <w:tblPr>
        <w:tblStyle w:val="TableGrid"/>
        <w:tblW w:w="9364" w:type="dxa"/>
        <w:tblInd w:w="-110" w:type="dxa"/>
        <w:tblCellMar>
          <w:top w:w="39" w:type="dxa"/>
          <w:left w:w="110" w:type="dxa"/>
          <w:bottom w:w="0" w:type="dxa"/>
          <w:right w:w="94" w:type="dxa"/>
        </w:tblCellMar>
        <w:tblLook w:val="04A0" w:firstRow="1" w:lastRow="0" w:firstColumn="1" w:lastColumn="0" w:noHBand="0" w:noVBand="1"/>
      </w:tblPr>
      <w:tblGrid>
        <w:gridCol w:w="2341"/>
        <w:gridCol w:w="2341"/>
        <w:gridCol w:w="2341"/>
        <w:gridCol w:w="2341"/>
      </w:tblGrid>
      <w:tr w:rsidR="003F3C3C" w14:paraId="095A8DB3" w14:textId="77777777">
        <w:trPr>
          <w:trHeight w:val="2111"/>
        </w:trPr>
        <w:tc>
          <w:tcPr>
            <w:tcW w:w="2341" w:type="dxa"/>
            <w:tcBorders>
              <w:top w:val="single" w:sz="4" w:space="0" w:color="000000"/>
              <w:left w:val="single" w:sz="4" w:space="0" w:color="000000"/>
              <w:bottom w:val="single" w:sz="4" w:space="0" w:color="000000"/>
              <w:right w:val="single" w:sz="4" w:space="0" w:color="000000"/>
            </w:tcBorders>
          </w:tcPr>
          <w:p w14:paraId="2317BFF3" w14:textId="77777777" w:rsidR="003F3C3C" w:rsidRDefault="00CD6B83">
            <w:pPr>
              <w:spacing w:after="118" w:line="259" w:lineRule="auto"/>
              <w:ind w:left="0" w:firstLine="0"/>
            </w:pPr>
            <w:r>
              <w:rPr>
                <w:b/>
              </w:rPr>
              <w:t xml:space="preserve">$3.99M </w:t>
            </w:r>
          </w:p>
          <w:p w14:paraId="612BA325" w14:textId="77777777" w:rsidR="003F3C3C" w:rsidRDefault="00CD6B83">
            <w:pPr>
              <w:spacing w:after="118" w:line="259" w:lineRule="auto"/>
              <w:ind w:left="0" w:firstLine="0"/>
            </w:pPr>
            <w:r>
              <w:rPr>
                <w:b/>
              </w:rPr>
              <w:t xml:space="preserve"> </w:t>
            </w:r>
          </w:p>
          <w:p w14:paraId="621EA26C" w14:textId="77777777" w:rsidR="003F3C3C" w:rsidRDefault="00CD6B83">
            <w:pPr>
              <w:spacing w:after="119" w:line="257" w:lineRule="auto"/>
              <w:ind w:left="0" w:right="6" w:firstLine="0"/>
            </w:pPr>
            <w:r>
              <w:t xml:space="preserve">Daily profit shown for Inaccuratestake </w:t>
            </w:r>
          </w:p>
          <w:p w14:paraId="4C49FD39" w14:textId="77777777" w:rsidR="003F3C3C" w:rsidRDefault="00CD6B83">
            <w:pPr>
              <w:spacing w:after="0" w:line="259" w:lineRule="auto"/>
              <w:ind w:left="0" w:firstLine="0"/>
            </w:pPr>
            <w: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4D845470" w14:textId="77777777" w:rsidR="003F3C3C" w:rsidRDefault="00CD6B83">
            <w:pPr>
              <w:spacing w:after="118" w:line="259" w:lineRule="auto"/>
              <w:ind w:left="0" w:firstLine="0"/>
            </w:pPr>
            <w:r>
              <w:rPr>
                <w:b/>
              </w:rPr>
              <w:t xml:space="preserve">$6.19M </w:t>
            </w:r>
          </w:p>
          <w:p w14:paraId="68A839A2" w14:textId="77777777" w:rsidR="003F3C3C" w:rsidRDefault="00CD6B83">
            <w:pPr>
              <w:spacing w:after="118" w:line="259" w:lineRule="auto"/>
              <w:ind w:left="0" w:firstLine="0"/>
            </w:pPr>
            <w:r>
              <w:rPr>
                <w:b/>
              </w:rPr>
              <w:t xml:space="preserve"> </w:t>
            </w:r>
          </w:p>
          <w:p w14:paraId="18B7D9BD" w14:textId="77777777" w:rsidR="003F3C3C" w:rsidRDefault="00CD6B83">
            <w:pPr>
              <w:spacing w:after="120" w:line="257" w:lineRule="auto"/>
              <w:ind w:left="0" w:firstLine="0"/>
            </w:pPr>
            <w:r>
              <w:t xml:space="preserve">Combined false daily profit across 35 zerogain accounts </w:t>
            </w:r>
          </w:p>
          <w:p w14:paraId="6028F1FD" w14:textId="77777777" w:rsidR="003F3C3C" w:rsidRDefault="00CD6B83">
            <w:pPr>
              <w:spacing w:after="0" w:line="259" w:lineRule="auto"/>
              <w:ind w:left="0" w:firstLine="0"/>
            </w:pPr>
            <w: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1DD857F2" w14:textId="77777777" w:rsidR="003F3C3C" w:rsidRDefault="00CD6B83">
            <w:pPr>
              <w:spacing w:after="118" w:line="259" w:lineRule="auto"/>
              <w:ind w:left="0" w:firstLine="0"/>
            </w:pPr>
            <w:r>
              <w:rPr>
                <w:b/>
              </w:rPr>
              <w:t xml:space="preserve">6 / 7 </w:t>
            </w:r>
          </w:p>
          <w:p w14:paraId="0FB29B03" w14:textId="77777777" w:rsidR="003F3C3C" w:rsidRDefault="00CD6B83">
            <w:pPr>
              <w:spacing w:after="118" w:line="259" w:lineRule="auto"/>
              <w:ind w:left="0" w:firstLine="0"/>
            </w:pPr>
            <w:r>
              <w:rPr>
                <w:b/>
              </w:rPr>
              <w:t xml:space="preserve"> </w:t>
            </w:r>
          </w:p>
          <w:p w14:paraId="51F16920" w14:textId="77777777" w:rsidR="003F3C3C" w:rsidRDefault="00CD6B83">
            <w:pPr>
              <w:spacing w:after="120" w:line="257" w:lineRule="auto"/>
              <w:ind w:left="0" w:firstLine="0"/>
            </w:pPr>
            <w:r>
              <w:t>Missing-</w:t>
            </w:r>
            <w:r>
              <w:t xml:space="preserve">baseline accounts showing the error </w:t>
            </w:r>
          </w:p>
          <w:p w14:paraId="355AE2D1" w14:textId="77777777" w:rsidR="003F3C3C" w:rsidRDefault="00CD6B83">
            <w:pPr>
              <w:spacing w:after="0" w:line="259" w:lineRule="auto"/>
              <w:ind w:left="0" w:firstLine="0"/>
            </w:pPr>
            <w: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7ABC3EDE" w14:textId="77777777" w:rsidR="003F3C3C" w:rsidRDefault="00CD6B83">
            <w:pPr>
              <w:spacing w:after="118" w:line="259" w:lineRule="auto"/>
              <w:ind w:left="0" w:firstLine="0"/>
            </w:pPr>
            <w:r>
              <w:rPr>
                <w:b/>
              </w:rPr>
              <w:t xml:space="preserve">0 / 96 </w:t>
            </w:r>
          </w:p>
          <w:p w14:paraId="22C4CDC6" w14:textId="77777777" w:rsidR="003F3C3C" w:rsidRDefault="00CD6B83">
            <w:pPr>
              <w:spacing w:after="118" w:line="259" w:lineRule="auto"/>
              <w:ind w:left="0" w:firstLine="0"/>
            </w:pPr>
            <w:r>
              <w:rPr>
                <w:b/>
              </w:rPr>
              <w:t xml:space="preserve"> </w:t>
            </w:r>
          </w:p>
          <w:p w14:paraId="7316F9F8" w14:textId="77777777" w:rsidR="003F3C3C" w:rsidRDefault="00CD6B83">
            <w:pPr>
              <w:spacing w:after="120" w:line="257" w:lineRule="auto"/>
              <w:ind w:left="0" w:firstLine="0"/>
            </w:pPr>
            <w:r>
              <w:t xml:space="preserve">Accounts with a midnight baseline showing the error </w:t>
            </w:r>
          </w:p>
          <w:p w14:paraId="5380A584" w14:textId="77777777" w:rsidR="003F3C3C" w:rsidRDefault="00CD6B83">
            <w:pPr>
              <w:spacing w:after="0" w:line="259" w:lineRule="auto"/>
              <w:ind w:left="0" w:firstLine="0"/>
            </w:pPr>
            <w:r>
              <w:t xml:space="preserve"> </w:t>
            </w:r>
          </w:p>
        </w:tc>
      </w:tr>
    </w:tbl>
    <w:p w14:paraId="71FAD036" w14:textId="77777777" w:rsidR="003F3C3C" w:rsidRDefault="00CD6B83">
      <w:pPr>
        <w:spacing w:after="238" w:line="259" w:lineRule="auto"/>
        <w:ind w:left="0" w:firstLine="0"/>
      </w:pPr>
      <w:r>
        <w:t xml:space="preserve"> </w:t>
      </w:r>
    </w:p>
    <w:p w14:paraId="3E128CB2" w14:textId="77777777" w:rsidR="003F3C3C" w:rsidRDefault="00CD6B83">
      <w:pPr>
        <w:spacing w:after="0" w:line="259" w:lineRule="auto"/>
        <w:ind w:left="0" w:firstLine="0"/>
      </w:pPr>
      <w:r>
        <w:t xml:space="preserve"> </w:t>
      </w:r>
    </w:p>
    <w:p w14:paraId="68AC63DA" w14:textId="77777777" w:rsidR="003F3C3C" w:rsidRDefault="00CD6B83">
      <w:pPr>
        <w:spacing w:after="469"/>
        <w:ind w:left="-5" w:right="4"/>
      </w:pPr>
      <w:r>
        <w:t>This June mechanism is distinct from the May case. May involved unsupported profit credits associated with a settlement pathway; June placed an existing lifetime value into the wrong time period.</w:t>
      </w:r>
      <w:r>
        <w:rPr>
          <w:rFonts w:ascii="Arial" w:eastAsia="Arial" w:hAnsi="Arial" w:cs="Arial"/>
          <w:color w:val="1F2937"/>
          <w:sz w:val="20"/>
        </w:rPr>
        <w:t xml:space="preserve"> </w:t>
      </w:r>
    </w:p>
    <w:p w14:paraId="387F7E35" w14:textId="77777777" w:rsidR="003F3C3C" w:rsidRDefault="00CD6B83">
      <w:pPr>
        <w:pStyle w:val="Heading1"/>
        <w:ind w:left="-5"/>
      </w:pPr>
      <w:r>
        <w:t>Why this matters beyond one leaderboard</w:t>
      </w:r>
      <w:r>
        <w:rPr>
          <w:rFonts w:ascii="Calibri" w:eastAsia="Calibri" w:hAnsi="Calibri" w:cs="Calibri"/>
          <w:color w:val="1F2937"/>
          <w:sz w:val="34"/>
        </w:rPr>
        <w:t xml:space="preserve"> </w:t>
      </w:r>
    </w:p>
    <w:p w14:paraId="0E199332" w14:textId="77777777" w:rsidR="003F3C3C" w:rsidRDefault="00CD6B83">
      <w:pPr>
        <w:spacing w:after="234" w:line="259" w:lineRule="auto"/>
        <w:ind w:left="-30" w:right="-40" w:firstLine="0"/>
      </w:pPr>
      <w:r>
        <w:rPr>
          <w:rFonts w:ascii="Calibri" w:eastAsia="Calibri" w:hAnsi="Calibri" w:cs="Calibri"/>
          <w:noProof/>
          <w:color w:val="000000"/>
        </w:rPr>
        <mc:AlternateContent>
          <mc:Choice Requires="wpg">
            <w:drawing>
              <wp:inline distT="0" distB="0" distL="0" distR="0" wp14:anchorId="702A04CF" wp14:editId="17077C07">
                <wp:extent cx="5984241" cy="9525"/>
                <wp:effectExtent l="0" t="0" r="0" b="0"/>
                <wp:docPr id="11747" name="Group 11747"/>
                <wp:cNvGraphicFramePr/>
                <a:graphic xmlns:a="http://schemas.openxmlformats.org/drawingml/2006/main">
                  <a:graphicData uri="http://schemas.microsoft.com/office/word/2010/wordprocessingGroup">
                    <wpg:wgp>
                      <wpg:cNvGrpSpPr/>
                      <wpg:grpSpPr>
                        <a:xfrm>
                          <a:off x="0" y="0"/>
                          <a:ext cx="5984241" cy="9525"/>
                          <a:chOff x="0" y="0"/>
                          <a:chExt cx="5984241" cy="9525"/>
                        </a:xfrm>
                      </wpg:grpSpPr>
                      <wps:wsp>
                        <wps:cNvPr id="15493" name="Shape 15493"/>
                        <wps:cNvSpPr/>
                        <wps:spPr>
                          <a:xfrm>
                            <a:off x="0" y="0"/>
                            <a:ext cx="5984241" cy="9525"/>
                          </a:xfrm>
                          <a:custGeom>
                            <a:avLst/>
                            <a:gdLst/>
                            <a:ahLst/>
                            <a:cxnLst/>
                            <a:rect l="0" t="0" r="0" b="0"/>
                            <a:pathLst>
                              <a:path w="5984241" h="9525">
                                <a:moveTo>
                                  <a:pt x="0" y="0"/>
                                </a:moveTo>
                                <a:lnTo>
                                  <a:pt x="5984241" y="0"/>
                                </a:lnTo>
                                <a:lnTo>
                                  <a:pt x="5984241" y="9525"/>
                                </a:lnTo>
                                <a:lnTo>
                                  <a:pt x="0" y="9525"/>
                                </a:lnTo>
                                <a:lnTo>
                                  <a:pt x="0" y="0"/>
                                </a:lnTo>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inline>
            </w:drawing>
          </mc:Choice>
          <mc:Fallback xmlns:a="http://schemas.openxmlformats.org/drawingml/2006/main">
            <w:pict>
              <v:group id="Group 11747" style="width:471.2pt;height:0.75pt;mso-position-horizontal-relative:char;mso-position-vertical-relative:line" coordsize="59842,95">
                <v:shape id="Shape 15494" style="position:absolute;width:59842;height:95;left:0;top:0;" coordsize="5984241,9525" path="m0,0l5984241,0l5984241,9525l0,9525l0,0">
                  <v:stroke weight="0pt" endcap="flat" joinstyle="miter" miterlimit="10" on="false" color="#000000" opacity="0"/>
                  <v:fill on="true" color="#1a1a1a"/>
                </v:shape>
              </v:group>
            </w:pict>
          </mc:Fallback>
        </mc:AlternateContent>
      </w:r>
    </w:p>
    <w:p w14:paraId="063093C6" w14:textId="77777777" w:rsidR="003F3C3C" w:rsidRDefault="00CD6B83">
      <w:pPr>
        <w:spacing w:after="233"/>
        <w:ind w:left="-5" w:right="4"/>
      </w:pPr>
      <w:r>
        <w:t>The ranking problems mattered because the same data was consumed by more than Polymarket's own webpage. External products and developers could continue using an older public feed even after the website changed its source.</w:t>
      </w:r>
      <w:r>
        <w:rPr>
          <w:rFonts w:ascii="Arial" w:eastAsia="Arial" w:hAnsi="Arial" w:cs="Arial"/>
          <w:color w:val="1F2937"/>
          <w:sz w:val="20"/>
        </w:rPr>
        <w:t xml:space="preserve"> </w:t>
      </w:r>
    </w:p>
    <w:p w14:paraId="10A1C5A9" w14:textId="77777777" w:rsidR="003F3C3C" w:rsidRDefault="00CD6B83">
      <w:pPr>
        <w:pStyle w:val="Heading2"/>
        <w:ind w:left="-5"/>
      </w:pPr>
      <w:r>
        <w:t>The website changed feeds, but the old feed stayed online</w:t>
      </w:r>
      <w:r>
        <w:rPr>
          <w:rFonts w:ascii="Calibri" w:eastAsia="Calibri" w:hAnsi="Calibri" w:cs="Calibri"/>
          <w:color w:val="1D697D"/>
          <w:sz w:val="25"/>
        </w:rPr>
        <w:t xml:space="preserve"> </w:t>
      </w:r>
    </w:p>
    <w:p w14:paraId="292896C0" w14:textId="77777777" w:rsidR="003F3C3C" w:rsidRDefault="00CD6B83">
      <w:pPr>
        <w:ind w:left="-5" w:right="4"/>
      </w:pPr>
      <w:r>
        <w:t>On September 10, the website switched the data source behind its leaderboard. The older source remained publicly accessible without a retirement notice. The two sources did not measure the same periods in the same way: the older feed counted monthly profit from the first day of the calendar month, while the newer feed used roughly the preceding 30 days for ordinary accounts.</w:t>
      </w:r>
      <w:r>
        <w:rPr>
          <w:rFonts w:ascii="Arial" w:eastAsia="Arial" w:hAnsi="Arial" w:cs="Arial"/>
          <w:color w:val="1F2937"/>
          <w:sz w:val="20"/>
        </w:rPr>
        <w:t xml:space="preserve"> </w:t>
      </w:r>
    </w:p>
    <w:p w14:paraId="152BF9A0" w14:textId="77777777" w:rsidR="003F3C3C" w:rsidRDefault="00CD6B83">
      <w:pPr>
        <w:spacing w:after="238"/>
        <w:ind w:left="-5" w:right="4"/>
      </w:pPr>
      <w:r>
        <w:t>The difference was not merely cosmetic. On September 18, the two daily sources shared only 28 of their top 50 names. A visitor to Polymarket's own website and a customer of an outside product could therefore see materially different lists of leading traders while both believed they were looking at a daily leaderboard.</w:t>
      </w:r>
      <w:r>
        <w:rPr>
          <w:rFonts w:ascii="Arial" w:eastAsia="Arial" w:hAnsi="Arial" w:cs="Arial"/>
          <w:color w:val="1F2937"/>
          <w:sz w:val="20"/>
        </w:rPr>
        <w:t xml:space="preserve"> </w:t>
      </w:r>
    </w:p>
    <w:p w14:paraId="5314399A" w14:textId="77777777" w:rsidR="003F3C3C" w:rsidRDefault="00CD6B83">
      <w:pPr>
        <w:pStyle w:val="Heading2"/>
        <w:ind w:left="-5"/>
      </w:pPr>
      <w:r>
        <w:t>Faulty rankings reached copy-trading tools</w:t>
      </w:r>
      <w:r>
        <w:rPr>
          <w:rFonts w:ascii="Calibri" w:eastAsia="Calibri" w:hAnsi="Calibri" w:cs="Calibri"/>
          <w:color w:val="1D697D"/>
          <w:sz w:val="25"/>
        </w:rPr>
        <w:t xml:space="preserve"> </w:t>
      </w:r>
    </w:p>
    <w:p w14:paraId="49F2B7EA" w14:textId="77777777" w:rsidR="003F3C3C" w:rsidRDefault="00CD6B83">
      <w:pPr>
        <w:ind w:left="-5" w:right="4"/>
      </w:pPr>
      <w:r>
        <w:t>The older dormant-</w:t>
      </w:r>
      <w:r>
        <w:t>account group appeared in products built to help users identify traders to follow. At 01:53 UTC on September 17, 12 of the 13 dormant accounts were in the older feed's daily top 50. In MSR's capture of the Stand copy-trading service, six of its top 10 accounts belonged to that dormant group, and all six had a "Copy" button beside them.</w:t>
      </w:r>
      <w:r>
        <w:rPr>
          <w:rFonts w:ascii="Arial" w:eastAsia="Arial" w:hAnsi="Arial" w:cs="Arial"/>
          <w:color w:val="1F2937"/>
          <w:sz w:val="20"/>
        </w:rPr>
        <w:t xml:space="preserve"> </w:t>
      </w:r>
    </w:p>
    <w:p w14:paraId="7F866638" w14:textId="77777777" w:rsidR="003F3C3C" w:rsidRDefault="00CD6B83">
      <w:pPr>
        <w:spacing w:after="238"/>
        <w:ind w:left="-5" w:right="4"/>
      </w:pPr>
      <w:r>
        <w:t xml:space="preserve">Three open-source copy-trading bots also used the older feed to choose accounts to follow. The evidence shows that </w:t>
      </w:r>
      <w:r>
        <w:rPr>
          <w:b/>
        </w:rPr>
        <w:t>ranking errors could propagate into products and code that treated leaderboard position as a signal</w:t>
      </w:r>
      <w:r>
        <w:t>. It does not show that any user actually copied one of the affected wallets or lost money as a result.</w:t>
      </w:r>
      <w:r>
        <w:rPr>
          <w:rFonts w:ascii="Arial" w:eastAsia="Arial" w:hAnsi="Arial" w:cs="Arial"/>
          <w:color w:val="1F2937"/>
          <w:sz w:val="20"/>
        </w:rPr>
        <w:t xml:space="preserve"> </w:t>
      </w:r>
    </w:p>
    <w:p w14:paraId="620C66DB" w14:textId="77777777" w:rsidR="003F3C3C" w:rsidRDefault="00CD6B83">
      <w:pPr>
        <w:pStyle w:val="Heading2"/>
        <w:ind w:left="-5"/>
      </w:pPr>
      <w:r>
        <w:t>Different public surfaces could preserve different histories</w:t>
      </w:r>
      <w:r>
        <w:rPr>
          <w:rFonts w:ascii="Calibri" w:eastAsia="Calibri" w:hAnsi="Calibri" w:cs="Calibri"/>
          <w:color w:val="1D697D"/>
          <w:sz w:val="25"/>
        </w:rPr>
        <w:t xml:space="preserve"> </w:t>
      </w:r>
    </w:p>
    <w:p w14:paraId="10D2CAC9" w14:textId="77777777" w:rsidR="003F3C3C" w:rsidRDefault="00CD6B83">
      <w:pPr>
        <w:ind w:left="-5" w:right="4"/>
      </w:pPr>
      <w:r>
        <w:t>Public surfaces could also point readers to different underlying records. The Papeasy leaderboard link opened a separate trading wallet's profile rather than the collecting wallet's transaction history. Separately, in September the Gravia-</w:t>
      </w:r>
      <w:r>
        <w:t>linked account's headline profit showed a $6,859.59 loss while its chart still contained the erroneous May peak of $980,352.94. These examples do not prove a new accounting error; they show that corrected, historical and address-specific figures could coexist without a clear explanation of the differences.</w:t>
      </w:r>
      <w:r>
        <w:rPr>
          <w:rFonts w:ascii="Arial" w:eastAsia="Arial" w:hAnsi="Arial" w:cs="Arial"/>
          <w:color w:val="1F2937"/>
          <w:sz w:val="20"/>
        </w:rPr>
        <w:t xml:space="preserve"> </w:t>
      </w:r>
    </w:p>
    <w:p w14:paraId="01BA31BA" w14:textId="77777777" w:rsidR="003F3C3C" w:rsidRDefault="00CD6B83">
      <w:pPr>
        <w:pStyle w:val="Heading2"/>
        <w:ind w:left="-5"/>
      </w:pPr>
      <w:r>
        <w:t>WHY AN INSTITUTIONAL USER SHOULD CARE</w:t>
      </w:r>
      <w:r>
        <w:rPr>
          <w:rFonts w:ascii="Calibri" w:eastAsia="Calibri" w:hAnsi="Calibri" w:cs="Calibri"/>
          <w:color w:val="1D697D"/>
          <w:sz w:val="25"/>
        </w:rPr>
        <w:t xml:space="preserve"> </w:t>
      </w:r>
    </w:p>
    <w:p w14:paraId="5F126298" w14:textId="77777777" w:rsidR="003F3C3C" w:rsidRDefault="00CD6B83">
      <w:pPr>
        <w:spacing w:after="233"/>
        <w:ind w:left="-5" w:right="4"/>
      </w:pPr>
      <w:r>
        <w:t>Leaderboards are not just entertainment surfaces. They can become upstream data for trader selection, copy-</w:t>
      </w:r>
      <w:r>
        <w:t>trading, research, incentives and automated tools. A ranking field is therefore a market-data product. Its definition, time window, wallet scope and source version matter as much as the number itself.</w:t>
      </w:r>
      <w:r>
        <w:rPr>
          <w:rFonts w:ascii="Arial" w:eastAsia="Arial" w:hAnsi="Arial" w:cs="Arial"/>
          <w:color w:val="1F2937"/>
          <w:sz w:val="20"/>
        </w:rPr>
        <w:t xml:space="preserve"> </w:t>
      </w:r>
    </w:p>
    <w:p w14:paraId="5F5D39A3" w14:textId="77777777" w:rsidR="003F3C3C" w:rsidRDefault="00CD6B83">
      <w:pPr>
        <w:pStyle w:val="Heading2"/>
        <w:ind w:left="-5"/>
      </w:pPr>
      <w:r>
        <w:t>A useful distinction</w:t>
      </w:r>
      <w:r>
        <w:rPr>
          <w:rFonts w:ascii="Calibri" w:eastAsia="Calibri" w:hAnsi="Calibri" w:cs="Calibri"/>
          <w:color w:val="1D697D"/>
          <w:sz w:val="25"/>
        </w:rPr>
        <w:t xml:space="preserve"> </w:t>
      </w:r>
    </w:p>
    <w:p w14:paraId="1678F996" w14:textId="77777777" w:rsidR="003F3C3C" w:rsidRDefault="00CD6B83">
      <w:pPr>
        <w:spacing w:after="473"/>
        <w:ind w:left="-5" w:right="4"/>
      </w:pPr>
      <w:r>
        <w:t>MSR is not arguing that every leaderboard disagreement is evidence of fake trading, manipulation or bad faith. The five cases show something narrower and more useful: p</w:t>
      </w:r>
      <w:r>
        <w:rPr>
          <w:b/>
        </w:rPr>
        <w:t>ublic PnL fields can fail in different ways, and those failures can materially change who appears to be winning</w:t>
      </w:r>
      <w:r>
        <w:t>.</w:t>
      </w:r>
      <w:r>
        <w:rPr>
          <w:rFonts w:ascii="Arial" w:eastAsia="Arial" w:hAnsi="Arial" w:cs="Arial"/>
          <w:color w:val="1F2937"/>
          <w:sz w:val="20"/>
        </w:rPr>
        <w:t xml:space="preserve"> </w:t>
      </w:r>
    </w:p>
    <w:p w14:paraId="3A0B9B07" w14:textId="77777777" w:rsidR="003F3C3C" w:rsidRDefault="00CD6B83">
      <w:pPr>
        <w:pStyle w:val="Heading1"/>
        <w:ind w:left="-5"/>
      </w:pPr>
      <w:r>
        <w:t>Methodology and limitations</w:t>
      </w:r>
      <w:r>
        <w:rPr>
          <w:rFonts w:ascii="Calibri" w:eastAsia="Calibri" w:hAnsi="Calibri" w:cs="Calibri"/>
          <w:color w:val="1F2937"/>
          <w:sz w:val="34"/>
        </w:rPr>
        <w:t xml:space="preserve"> </w:t>
      </w:r>
    </w:p>
    <w:p w14:paraId="6A472379" w14:textId="77777777" w:rsidR="003F3C3C" w:rsidRDefault="00CD6B83">
      <w:pPr>
        <w:spacing w:after="234" w:line="259" w:lineRule="auto"/>
        <w:ind w:left="-30" w:right="-40" w:firstLine="0"/>
      </w:pPr>
      <w:r>
        <w:rPr>
          <w:rFonts w:ascii="Calibri" w:eastAsia="Calibri" w:hAnsi="Calibri" w:cs="Calibri"/>
          <w:noProof/>
          <w:color w:val="000000"/>
        </w:rPr>
        <mc:AlternateContent>
          <mc:Choice Requires="wpg">
            <w:drawing>
              <wp:inline distT="0" distB="0" distL="0" distR="0" wp14:anchorId="152DD1B7" wp14:editId="19D323AA">
                <wp:extent cx="5984241" cy="9525"/>
                <wp:effectExtent l="0" t="0" r="0" b="0"/>
                <wp:docPr id="11833" name="Group 11833"/>
                <wp:cNvGraphicFramePr/>
                <a:graphic xmlns:a="http://schemas.openxmlformats.org/drawingml/2006/main">
                  <a:graphicData uri="http://schemas.microsoft.com/office/word/2010/wordprocessingGroup">
                    <wpg:wgp>
                      <wpg:cNvGrpSpPr/>
                      <wpg:grpSpPr>
                        <a:xfrm>
                          <a:off x="0" y="0"/>
                          <a:ext cx="5984241" cy="9525"/>
                          <a:chOff x="0" y="0"/>
                          <a:chExt cx="5984241" cy="9525"/>
                        </a:xfrm>
                      </wpg:grpSpPr>
                      <wps:wsp>
                        <wps:cNvPr id="15495" name="Shape 15495"/>
                        <wps:cNvSpPr/>
                        <wps:spPr>
                          <a:xfrm>
                            <a:off x="0" y="0"/>
                            <a:ext cx="5984241" cy="9525"/>
                          </a:xfrm>
                          <a:custGeom>
                            <a:avLst/>
                            <a:gdLst/>
                            <a:ahLst/>
                            <a:cxnLst/>
                            <a:rect l="0" t="0" r="0" b="0"/>
                            <a:pathLst>
                              <a:path w="5984241" h="9525">
                                <a:moveTo>
                                  <a:pt x="0" y="0"/>
                                </a:moveTo>
                                <a:lnTo>
                                  <a:pt x="5984241" y="0"/>
                                </a:lnTo>
                                <a:lnTo>
                                  <a:pt x="5984241" y="9525"/>
                                </a:lnTo>
                                <a:lnTo>
                                  <a:pt x="0" y="9525"/>
                                </a:lnTo>
                                <a:lnTo>
                                  <a:pt x="0" y="0"/>
                                </a:lnTo>
                              </a:path>
                            </a:pathLst>
                          </a:custGeom>
                          <a:ln w="0" cap="flat">
                            <a:miter lim="127000"/>
                          </a:ln>
                        </wps:spPr>
                        <wps:style>
                          <a:lnRef idx="0">
                            <a:srgbClr val="000000">
                              <a:alpha val="0"/>
                            </a:srgbClr>
                          </a:lnRef>
                          <a:fillRef idx="1">
                            <a:srgbClr val="1A1A1A"/>
                          </a:fillRef>
                          <a:effectRef idx="0">
                            <a:scrgbClr r="0" g="0" b="0"/>
                          </a:effectRef>
                          <a:fontRef idx="none"/>
                        </wps:style>
                        <wps:bodyPr/>
                      </wps:wsp>
                    </wpg:wgp>
                  </a:graphicData>
                </a:graphic>
              </wp:inline>
            </w:drawing>
          </mc:Choice>
          <mc:Fallback xmlns:a="http://schemas.openxmlformats.org/drawingml/2006/main">
            <w:pict>
              <v:group id="Group 11833" style="width:471.2pt;height:0.75pt;mso-position-horizontal-relative:char;mso-position-vertical-relative:line" coordsize="59842,95">
                <v:shape id="Shape 15496" style="position:absolute;width:59842;height:95;left:0;top:0;" coordsize="5984241,9525" path="m0,0l5984241,0l5984241,9525l0,9525l0,0">
                  <v:stroke weight="0pt" endcap="flat" joinstyle="miter" miterlimit="10" on="false" color="#000000" opacity="0"/>
                  <v:fill on="true" color="#1a1a1a"/>
                </v:shape>
              </v:group>
            </w:pict>
          </mc:Fallback>
        </mc:AlternateContent>
      </w:r>
    </w:p>
    <w:p w14:paraId="4628C12F" w14:textId="77777777" w:rsidR="003F3C3C" w:rsidRDefault="00CD6B83">
      <w:pPr>
        <w:spacing w:after="233"/>
        <w:ind w:left="-5" w:right="4"/>
      </w:pPr>
      <w:r>
        <w:t>The findings in this note come from Polymarket public data, archived leaderboard responses and webpages preserved by the Internet Archive, and Polygon blockchain records. Where necessary, MSR reconstructed transaction flows across multiple addresses and compared public ranking values with trade, transfer and payout histories.</w:t>
      </w:r>
      <w:r>
        <w:rPr>
          <w:rFonts w:ascii="Arial" w:eastAsia="Arial" w:hAnsi="Arial" w:cs="Arial"/>
          <w:color w:val="1F2937"/>
          <w:sz w:val="20"/>
        </w:rPr>
        <w:t xml:space="preserve"> </w:t>
      </w:r>
    </w:p>
    <w:p w14:paraId="2487F4F4" w14:textId="77777777" w:rsidR="003F3C3C" w:rsidRDefault="00CD6B83">
      <w:pPr>
        <w:pStyle w:val="Heading2"/>
        <w:ind w:left="-5"/>
      </w:pPr>
      <w:r>
        <w:t>What the evidence supports</w:t>
      </w:r>
      <w:r>
        <w:rPr>
          <w:rFonts w:ascii="Calibri" w:eastAsia="Calibri" w:hAnsi="Calibri" w:cs="Calibri"/>
          <w:color w:val="1D697D"/>
          <w:sz w:val="25"/>
        </w:rPr>
        <w:t xml:space="preserve"> </w:t>
      </w:r>
    </w:p>
    <w:p w14:paraId="0ECCF60E" w14:textId="77777777" w:rsidR="003F3C3C" w:rsidRDefault="00CD6B83">
      <w:pPr>
        <w:numPr>
          <w:ilvl w:val="0"/>
          <w:numId w:val="1"/>
        </w:numPr>
        <w:spacing w:after="4"/>
        <w:ind w:right="4" w:hanging="181"/>
      </w:pPr>
      <w:r>
        <w:t>Papeasy: the collecting wallet received contracts bought by connected supplier wallets; its monthly profit readings closely followed gross payouts; most redeemed cash was sent back to supplier wallets.</w:t>
      </w:r>
      <w:r>
        <w:rPr>
          <w:rFonts w:ascii="Arial" w:eastAsia="Arial" w:hAnsi="Arial" w:cs="Arial"/>
          <w:color w:val="1F2937"/>
          <w:sz w:val="20"/>
        </w:rPr>
        <w:t xml:space="preserve"> </w:t>
      </w:r>
    </w:p>
    <w:p w14:paraId="68084083" w14:textId="77777777" w:rsidR="003F3C3C" w:rsidRDefault="00CD6B83">
      <w:pPr>
        <w:numPr>
          <w:ilvl w:val="0"/>
          <w:numId w:val="1"/>
        </w:numPr>
        <w:spacing w:after="4"/>
        <w:ind w:right="4" w:hanging="181"/>
      </w:pPr>
      <w:r>
        <w:t>Twelve-wallet episode: the group and its fixed profit values appeared across multiple archived server responses, but the origin of those values was not established.</w:t>
      </w:r>
      <w:r>
        <w:rPr>
          <w:rFonts w:ascii="Arial" w:eastAsia="Arial" w:hAnsi="Arial" w:cs="Arial"/>
          <w:color w:val="1F2937"/>
          <w:sz w:val="20"/>
        </w:rPr>
        <w:t xml:space="preserve"> </w:t>
      </w:r>
    </w:p>
    <w:p w14:paraId="1F9FE218" w14:textId="77777777" w:rsidR="003F3C3C" w:rsidRDefault="00CD6B83">
      <w:pPr>
        <w:numPr>
          <w:ilvl w:val="0"/>
          <w:numId w:val="1"/>
        </w:numPr>
        <w:spacing w:after="1"/>
        <w:ind w:right="4" w:hanging="181"/>
      </w:pPr>
      <w:r>
        <w:t>Dormant-</w:t>
      </w:r>
      <w:r>
        <w:t>account pattern: fixed historical accounting amounts reappeared in recent rankings and could lift inactive wallets into prominent positions; intermittent inclusion remains unexplained.</w:t>
      </w:r>
      <w:r>
        <w:rPr>
          <w:rFonts w:ascii="Arial" w:eastAsia="Arial" w:hAnsi="Arial" w:cs="Arial"/>
          <w:color w:val="1F2937"/>
          <w:sz w:val="20"/>
        </w:rPr>
        <w:t xml:space="preserve"> </w:t>
      </w:r>
    </w:p>
    <w:p w14:paraId="53B179E6" w14:textId="77777777" w:rsidR="003F3C3C" w:rsidRDefault="00CD6B83">
      <w:pPr>
        <w:numPr>
          <w:ilvl w:val="0"/>
          <w:numId w:val="1"/>
        </w:numPr>
        <w:spacing w:after="4"/>
        <w:ind w:right="4" w:hanging="181"/>
      </w:pPr>
      <w:r>
        <w:t>May settlement case: the Gravia-linked account's displayed $980,352.94 profit was not supported by its reconstructed trading economics, and similar unsupported credits appeared in other sampled accounts.</w:t>
      </w:r>
      <w:r>
        <w:rPr>
          <w:rFonts w:ascii="Arial" w:eastAsia="Arial" w:hAnsi="Arial" w:cs="Arial"/>
          <w:color w:val="1F2937"/>
          <w:sz w:val="20"/>
        </w:rPr>
        <w:t xml:space="preserve"> </w:t>
      </w:r>
    </w:p>
    <w:p w14:paraId="5A9E5BD2" w14:textId="77777777" w:rsidR="003F3C3C" w:rsidRDefault="00CD6B83">
      <w:pPr>
        <w:numPr>
          <w:ilvl w:val="0"/>
          <w:numId w:val="1"/>
        </w:numPr>
        <w:ind w:right="4" w:hanging="181"/>
      </w:pPr>
      <w:r>
        <w:t>June baseline case: missing midnight records strongly predicted the error in which lifetime profit appeared as daily profit.</w:t>
      </w:r>
      <w:r>
        <w:rPr>
          <w:rFonts w:ascii="Arial" w:eastAsia="Arial" w:hAnsi="Arial" w:cs="Arial"/>
          <w:color w:val="1F2937"/>
          <w:sz w:val="20"/>
        </w:rPr>
        <w:t xml:space="preserve"> </w:t>
      </w:r>
    </w:p>
    <w:p w14:paraId="08357D61" w14:textId="77777777" w:rsidR="003F3C3C" w:rsidRDefault="00CD6B83">
      <w:pPr>
        <w:pStyle w:val="Heading2"/>
        <w:ind w:left="-5"/>
      </w:pPr>
      <w:r>
        <w:t>What this report does not establish</w:t>
      </w:r>
      <w:r>
        <w:rPr>
          <w:rFonts w:ascii="Calibri" w:eastAsia="Calibri" w:hAnsi="Calibri" w:cs="Calibri"/>
          <w:color w:val="1D697D"/>
          <w:sz w:val="25"/>
        </w:rPr>
        <w:t xml:space="preserve"> </w:t>
      </w:r>
    </w:p>
    <w:p w14:paraId="0717AFE8" w14:textId="77777777" w:rsidR="003F3C3C" w:rsidRDefault="00CD6B83">
      <w:pPr>
        <w:numPr>
          <w:ilvl w:val="0"/>
          <w:numId w:val="2"/>
        </w:numPr>
        <w:spacing w:after="0"/>
        <w:ind w:right="4" w:hanging="181"/>
      </w:pPr>
      <w:r>
        <w:t>A single common technical cause across all five cases.</w:t>
      </w:r>
      <w:r>
        <w:rPr>
          <w:rFonts w:ascii="Arial" w:eastAsia="Arial" w:hAnsi="Arial" w:cs="Arial"/>
          <w:color w:val="1F2937"/>
          <w:sz w:val="20"/>
        </w:rPr>
        <w:t xml:space="preserve"> </w:t>
      </w:r>
    </w:p>
    <w:p w14:paraId="32C41D91" w14:textId="77777777" w:rsidR="003F3C3C" w:rsidRDefault="00CD6B83">
      <w:pPr>
        <w:numPr>
          <w:ilvl w:val="0"/>
          <w:numId w:val="2"/>
        </w:numPr>
        <w:spacing w:after="4"/>
        <w:ind w:right="4" w:hanging="181"/>
      </w:pPr>
      <w:r>
        <w:t>That any affected wallet intentionally manipulated its ranking or knew the figures were wrong.</w:t>
      </w:r>
      <w:r>
        <w:rPr>
          <w:rFonts w:ascii="Arial" w:eastAsia="Arial" w:hAnsi="Arial" w:cs="Arial"/>
          <w:color w:val="1F2937"/>
          <w:sz w:val="20"/>
        </w:rPr>
        <w:t xml:space="preserve"> </w:t>
      </w:r>
    </w:p>
    <w:p w14:paraId="28AF05B0" w14:textId="77777777" w:rsidR="003F3C3C" w:rsidRDefault="00CD6B83">
      <w:pPr>
        <w:numPr>
          <w:ilvl w:val="0"/>
          <w:numId w:val="2"/>
        </w:numPr>
        <w:ind w:right="4" w:hanging="181"/>
      </w:pPr>
      <w:r>
        <w:t>That anyone copied an affected account, received a ranking-linked reward, or lost money because of the rankings.</w:t>
      </w:r>
      <w:r>
        <w:rPr>
          <w:rFonts w:ascii="Arial" w:eastAsia="Arial" w:hAnsi="Arial" w:cs="Arial"/>
          <w:color w:val="1F2937"/>
          <w:sz w:val="20"/>
        </w:rPr>
        <w:t xml:space="preserve"> </w:t>
      </w:r>
    </w:p>
    <w:p w14:paraId="5D7A0BC0" w14:textId="77777777" w:rsidR="003F3C3C" w:rsidRDefault="00CD6B83">
      <w:pPr>
        <w:numPr>
          <w:ilvl w:val="0"/>
          <w:numId w:val="2"/>
        </w:numPr>
        <w:spacing w:after="4"/>
        <w:ind w:right="4" w:hanging="181"/>
      </w:pPr>
      <w:r>
        <w:t>That Papeasy's full operation earned the illustrative $500,000-</w:t>
      </w:r>
      <w:r>
        <w:t>$700,000 range. That range extrapolates from six sampled wallet-days and is not a complete PnL reconstruction.</w:t>
      </w:r>
      <w:r>
        <w:rPr>
          <w:rFonts w:ascii="Arial" w:eastAsia="Arial" w:hAnsi="Arial" w:cs="Arial"/>
          <w:color w:val="1F2937"/>
          <w:sz w:val="20"/>
        </w:rPr>
        <w:t xml:space="preserve"> </w:t>
      </w:r>
    </w:p>
    <w:p w14:paraId="2E21A449" w14:textId="77777777" w:rsidR="003F3C3C" w:rsidRDefault="00CD6B83">
      <w:pPr>
        <w:numPr>
          <w:ilvl w:val="0"/>
          <w:numId w:val="2"/>
        </w:numPr>
        <w:spacing w:after="24"/>
        <w:ind w:right="4" w:hanging="181"/>
      </w:pPr>
      <w:r>
        <w:t>That zero displayed trading volume is, by itself, evidence of an error. A wallet can receive, hold, transfer or redeem positions without making a new exchange trade during the period.</w:t>
      </w:r>
      <w:r>
        <w:rPr>
          <w:rFonts w:ascii="Arial" w:eastAsia="Arial" w:hAnsi="Arial" w:cs="Arial"/>
          <w:color w:val="1F2937"/>
          <w:sz w:val="20"/>
        </w:rPr>
        <w:t xml:space="preserve"> </w:t>
      </w:r>
    </w:p>
    <w:p w14:paraId="5BA84EB2" w14:textId="77777777" w:rsidR="003F3C3C" w:rsidRDefault="00CD6B83">
      <w:pPr>
        <w:numPr>
          <w:ilvl w:val="0"/>
          <w:numId w:val="2"/>
        </w:numPr>
        <w:spacing w:after="3"/>
        <w:ind w:right="4" w:hanging="181"/>
      </w:pPr>
      <w:r>
        <w:t xml:space="preserve">That any September 2026 ranking problem remains live today. The findings refer to dated captures and would require a fresh check before making a current-state claim. </w:t>
      </w:r>
    </w:p>
    <w:p w14:paraId="62DFFC1F" w14:textId="77777777" w:rsidR="003F3C3C" w:rsidRDefault="00CD6B83">
      <w:pPr>
        <w:spacing w:after="253" w:line="259" w:lineRule="auto"/>
        <w:ind w:left="0" w:firstLine="0"/>
      </w:pPr>
      <w:r>
        <w:t xml:space="preserve"> </w:t>
      </w:r>
    </w:p>
    <w:p w14:paraId="45D81BF6" w14:textId="77777777" w:rsidR="003F3C3C" w:rsidRDefault="00CD6B83">
      <w:pPr>
        <w:pStyle w:val="Heading2"/>
        <w:ind w:left="-5"/>
      </w:pPr>
      <w:r>
        <w:t>Verification package</w:t>
      </w:r>
      <w:r>
        <w:rPr>
          <w:rFonts w:ascii="Calibri" w:eastAsia="Calibri" w:hAnsi="Calibri" w:cs="Calibri"/>
          <w:color w:val="1D697D"/>
          <w:sz w:val="25"/>
        </w:rPr>
        <w:t xml:space="preserve"> </w:t>
      </w:r>
    </w:p>
    <w:p w14:paraId="0EB57906" w14:textId="77777777" w:rsidR="003F3C3C" w:rsidRDefault="00CD6B83">
      <w:pPr>
        <w:spacing w:after="232"/>
        <w:ind w:left="-5" w:right="4"/>
      </w:pPr>
      <w:r>
        <w:t>MSR Decode maintains the wallet addresses, timestamped captures, account reconstructions and reproduction steps supporting the original investigation. The Papeasy collecting address used in the investigation was 0x111f73e91f85b6fe4de1ddec3de2fe32122e355b; the separate linked trading wallet was 0xccc4e132674619c6faccfeb4e05d6173088f9267. Supporting workpapers can be provided for independent review.</w:t>
      </w:r>
      <w:r>
        <w:rPr>
          <w:rFonts w:ascii="Arial" w:eastAsia="Arial" w:hAnsi="Arial" w:cs="Arial"/>
          <w:color w:val="1F2937"/>
          <w:sz w:val="20"/>
        </w:rPr>
        <w:t xml:space="preserve"> </w:t>
      </w:r>
    </w:p>
    <w:p w14:paraId="62F087AF" w14:textId="77777777" w:rsidR="003F3C3C" w:rsidRDefault="00CD6B83">
      <w:pPr>
        <w:pStyle w:val="Heading2"/>
        <w:ind w:left="-5"/>
      </w:pPr>
      <w:r>
        <w:t>BOTTOM LINE</w:t>
      </w:r>
      <w:r>
        <w:rPr>
          <w:rFonts w:ascii="Calibri" w:eastAsia="Calibri" w:hAnsi="Calibri" w:cs="Calibri"/>
          <w:color w:val="1D697D"/>
          <w:sz w:val="25"/>
        </w:rPr>
        <w:t xml:space="preserve"> </w:t>
      </w:r>
    </w:p>
    <w:p w14:paraId="409240BB" w14:textId="77777777" w:rsidR="003F3C3C" w:rsidRDefault="00CD6B83">
      <w:pPr>
        <w:ind w:left="-5" w:right="4"/>
      </w:pPr>
      <w:r>
        <w:t>Across five documented cases, Polymarket's public rankings sometimes described something other than profit earned by the ranked trader during the stated period: gross payouts before purchase costs, lifetime earnings placed into a daily window, old accounting values presented as recent gains, unsupported settlement credits, or large values whose origin could not be resolved from public records. For anyone using leaderboard data as a signal, the lesson is simple: validate what the metric is actually measuring</w:t>
      </w:r>
      <w:r>
        <w:t xml:space="preserve"> before treating rank as trading performance.</w:t>
      </w:r>
      <w:r>
        <w:rPr>
          <w:rFonts w:ascii="Arial" w:eastAsia="Arial" w:hAnsi="Arial" w:cs="Arial"/>
          <w:color w:val="1F2937"/>
          <w:sz w:val="20"/>
        </w:rPr>
        <w:t xml:space="preserve"> </w:t>
      </w:r>
    </w:p>
    <w:p w14:paraId="45CA1EF3" w14:textId="77777777" w:rsidR="003F3C3C" w:rsidRDefault="00CD6B83">
      <w:pPr>
        <w:spacing w:after="140" w:line="300" w:lineRule="auto"/>
        <w:ind w:left="0" w:firstLine="0"/>
      </w:pPr>
      <w:r>
        <w:rPr>
          <w:i/>
        </w:rPr>
        <w:t>MSR Decode is an independent prediction-market research project focused on transaction reconstruction, market structure and the integrity of public market data.</w:t>
      </w:r>
      <w:r>
        <w:rPr>
          <w:rFonts w:ascii="Arial" w:eastAsia="Arial" w:hAnsi="Arial" w:cs="Arial"/>
          <w:color w:val="1F2937"/>
          <w:sz w:val="20"/>
        </w:rPr>
        <w:t xml:space="preserve"> </w:t>
      </w:r>
    </w:p>
    <w:p w14:paraId="76122205" w14:textId="77777777" w:rsidR="003F3C3C" w:rsidRDefault="00CD6B83">
      <w:pPr>
        <w:spacing w:after="0" w:line="298" w:lineRule="auto"/>
        <w:ind w:left="0" w:firstLine="0"/>
      </w:pPr>
      <w:r>
        <w:rPr>
          <w:i/>
          <w:color w:val="A6A6A6"/>
          <w:sz w:val="16"/>
        </w:rPr>
        <w:t>Supporting package: wallet addresses, timestamped captures, account reconstructions and reproduction steps are available in the workpapers. The sampled network-</w:t>
      </w:r>
      <w:r>
        <w:rPr>
          <w:i/>
          <w:color w:val="A6A6A6"/>
          <w:sz w:val="16"/>
        </w:rPr>
        <w:t xml:space="preserve">return estimates and the broader account screen have not been independently repeated by reviewers working without knowledge of the original results. </w:t>
      </w:r>
    </w:p>
    <w:sectPr w:rsidR="003F3C3C">
      <w:headerReference w:type="even" r:id="rId7"/>
      <w:headerReference w:type="default" r:id="rId8"/>
      <w:footerReference w:type="even" r:id="rId9"/>
      <w:footerReference w:type="default" r:id="rId10"/>
      <w:headerReference w:type="first" r:id="rId11"/>
      <w:footerReference w:type="first" r:id="rId12"/>
      <w:pgSz w:w="12240" w:h="15840"/>
      <w:pgMar w:top="1446" w:right="1445" w:bottom="1782" w:left="1441" w:header="695" w:footer="8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D6ADB" w14:textId="77777777" w:rsidR="00CD6B83" w:rsidRDefault="00CD6B83">
      <w:pPr>
        <w:spacing w:after="0" w:line="240" w:lineRule="auto"/>
      </w:pPr>
      <w:r>
        <w:separator/>
      </w:r>
    </w:p>
  </w:endnote>
  <w:endnote w:type="continuationSeparator" w:id="0">
    <w:p w14:paraId="34A3CEE3" w14:textId="77777777" w:rsidR="00CD6B83" w:rsidRDefault="00CD6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2FF2" w14:textId="77777777" w:rsidR="003F3C3C" w:rsidRDefault="00CD6B83">
    <w:pPr>
      <w:spacing w:after="149" w:line="259" w:lineRule="auto"/>
      <w:ind w:left="7" w:firstLine="0"/>
      <w:jc w:val="center"/>
    </w:pPr>
    <w:r>
      <w:rPr>
        <w:rFonts w:ascii="Arial" w:eastAsia="Arial" w:hAnsi="Arial" w:cs="Arial"/>
        <w:color w:val="6E6E6E"/>
        <w:sz w:val="14"/>
      </w:rPr>
      <w:t>MSR Decode  |  Research note  |  September 2026</w:t>
    </w:r>
    <w:r>
      <w:rPr>
        <w:rFonts w:ascii="Arial" w:eastAsia="Arial" w:hAnsi="Arial" w:cs="Arial"/>
        <w:color w:val="1F2937"/>
        <w:sz w:val="20"/>
      </w:rPr>
      <w:t xml:space="preserve"> </w:t>
    </w:r>
  </w:p>
  <w:p w14:paraId="686B2E0E" w14:textId="77777777" w:rsidR="003F3C3C" w:rsidRDefault="00CD6B83">
    <w:pPr>
      <w:spacing w:after="0" w:line="259" w:lineRule="auto"/>
      <w:ind w:left="11" w:firstLine="0"/>
      <w:jc w:val="center"/>
    </w:pPr>
    <w:r>
      <w:rPr>
        <w:rFonts w:ascii="Arial" w:eastAsia="Arial" w:hAnsi="Arial" w:cs="Arial"/>
        <w:color w:val="6E6E6E"/>
        <w:sz w:val="14"/>
      </w:rPr>
      <w:t xml:space="preserve">Page </w:t>
    </w:r>
    <w:r>
      <w:fldChar w:fldCharType="begin"/>
    </w:r>
    <w:r>
      <w:instrText xml:space="preserve"> PAGE   \* MERGEFORMAT </w:instrText>
    </w:r>
    <w:r>
      <w:fldChar w:fldCharType="separate"/>
    </w:r>
    <w:r>
      <w:rPr>
        <w:rFonts w:ascii="Arial" w:eastAsia="Arial" w:hAnsi="Arial" w:cs="Arial"/>
        <w:color w:val="1F2937"/>
        <w:sz w:val="20"/>
      </w:rPr>
      <w:t>2</w:t>
    </w:r>
    <w:r>
      <w:rPr>
        <w:rFonts w:ascii="Arial" w:eastAsia="Arial" w:hAnsi="Arial" w:cs="Arial"/>
        <w:color w:val="1F2937"/>
        <w:sz w:val="20"/>
      </w:rPr>
      <w:fldChar w:fldCharType="end"/>
    </w:r>
    <w:r>
      <w:rPr>
        <w:rFonts w:ascii="Arial" w:eastAsia="Arial" w:hAnsi="Arial" w:cs="Arial"/>
        <w:color w:val="1F2937"/>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46D59" w14:textId="77777777" w:rsidR="003F3C3C" w:rsidRDefault="00CD6B83">
    <w:pPr>
      <w:spacing w:after="600" w:line="259" w:lineRule="auto"/>
      <w:ind w:left="0" w:firstLine="0"/>
    </w:pPr>
    <w:r>
      <w:t xml:space="preserve"> </w:t>
    </w:r>
  </w:p>
  <w:p w14:paraId="62B3B025" w14:textId="77777777" w:rsidR="003F3C3C" w:rsidRDefault="00CD6B83">
    <w:pPr>
      <w:spacing w:after="149" w:line="259" w:lineRule="auto"/>
      <w:ind w:left="7" w:firstLine="0"/>
      <w:jc w:val="center"/>
    </w:pPr>
    <w:r>
      <w:rPr>
        <w:rFonts w:ascii="Arial" w:eastAsia="Arial" w:hAnsi="Arial" w:cs="Arial"/>
        <w:color w:val="6E6E6E"/>
        <w:sz w:val="14"/>
      </w:rPr>
      <w:t>MSR Decode  |  Research note  |  September 2026</w:t>
    </w:r>
    <w:r>
      <w:rPr>
        <w:rFonts w:ascii="Arial" w:eastAsia="Arial" w:hAnsi="Arial" w:cs="Arial"/>
        <w:color w:val="1F2937"/>
        <w:sz w:val="20"/>
      </w:rPr>
      <w:t xml:space="preserve"> </w:t>
    </w:r>
  </w:p>
  <w:p w14:paraId="227959DA" w14:textId="77777777" w:rsidR="003F3C3C" w:rsidRDefault="00CD6B83">
    <w:pPr>
      <w:spacing w:after="0" w:line="259" w:lineRule="auto"/>
      <w:ind w:left="11" w:firstLine="0"/>
      <w:jc w:val="center"/>
    </w:pPr>
    <w:r>
      <w:rPr>
        <w:rFonts w:ascii="Arial" w:eastAsia="Arial" w:hAnsi="Arial" w:cs="Arial"/>
        <w:color w:val="6E6E6E"/>
        <w:sz w:val="14"/>
      </w:rPr>
      <w:t xml:space="preserve">Page </w:t>
    </w:r>
    <w:r>
      <w:fldChar w:fldCharType="begin"/>
    </w:r>
    <w:r>
      <w:instrText xml:space="preserve"> PAGE   \* MERGEFORMAT </w:instrText>
    </w:r>
    <w:r>
      <w:fldChar w:fldCharType="separate"/>
    </w:r>
    <w:r>
      <w:rPr>
        <w:rFonts w:ascii="Arial" w:eastAsia="Arial" w:hAnsi="Arial" w:cs="Arial"/>
        <w:color w:val="1F2937"/>
        <w:sz w:val="20"/>
      </w:rPr>
      <w:t>1</w:t>
    </w:r>
    <w:r>
      <w:rPr>
        <w:rFonts w:ascii="Arial" w:eastAsia="Arial" w:hAnsi="Arial" w:cs="Arial"/>
        <w:color w:val="1F2937"/>
        <w:sz w:val="20"/>
      </w:rPr>
      <w:fldChar w:fldCharType="end"/>
    </w:r>
    <w:r>
      <w:rPr>
        <w:rFonts w:ascii="Arial" w:eastAsia="Arial" w:hAnsi="Arial" w:cs="Arial"/>
        <w:color w:val="1F2937"/>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637FD" w14:textId="77777777" w:rsidR="003F3C3C" w:rsidRDefault="00CD6B83">
    <w:pPr>
      <w:spacing w:after="600" w:line="259" w:lineRule="auto"/>
      <w:ind w:left="0" w:firstLine="0"/>
    </w:pPr>
    <w:r>
      <w:t xml:space="preserve"> </w:t>
    </w:r>
  </w:p>
  <w:p w14:paraId="619EB9F4" w14:textId="77777777" w:rsidR="003F3C3C" w:rsidRDefault="00CD6B83">
    <w:pPr>
      <w:spacing w:after="149" w:line="259" w:lineRule="auto"/>
      <w:ind w:left="7" w:firstLine="0"/>
      <w:jc w:val="center"/>
    </w:pPr>
    <w:r>
      <w:rPr>
        <w:rFonts w:ascii="Arial" w:eastAsia="Arial" w:hAnsi="Arial" w:cs="Arial"/>
        <w:color w:val="6E6E6E"/>
        <w:sz w:val="14"/>
      </w:rPr>
      <w:t>MSR Decode  |  Research note  |  September 2026</w:t>
    </w:r>
    <w:r>
      <w:rPr>
        <w:rFonts w:ascii="Arial" w:eastAsia="Arial" w:hAnsi="Arial" w:cs="Arial"/>
        <w:color w:val="1F2937"/>
        <w:sz w:val="20"/>
      </w:rPr>
      <w:t xml:space="preserve"> </w:t>
    </w:r>
  </w:p>
  <w:p w14:paraId="2150A5B3" w14:textId="77777777" w:rsidR="003F3C3C" w:rsidRDefault="00CD6B83">
    <w:pPr>
      <w:spacing w:after="0" w:line="259" w:lineRule="auto"/>
      <w:ind w:left="11" w:firstLine="0"/>
      <w:jc w:val="center"/>
    </w:pPr>
    <w:r>
      <w:rPr>
        <w:rFonts w:ascii="Arial" w:eastAsia="Arial" w:hAnsi="Arial" w:cs="Arial"/>
        <w:color w:val="6E6E6E"/>
        <w:sz w:val="14"/>
      </w:rPr>
      <w:t xml:space="preserve">Page </w:t>
    </w:r>
    <w:r>
      <w:fldChar w:fldCharType="begin"/>
    </w:r>
    <w:r>
      <w:instrText xml:space="preserve"> PAGE   \* MERGEFORMAT </w:instrText>
    </w:r>
    <w:r>
      <w:fldChar w:fldCharType="separate"/>
    </w:r>
    <w:r>
      <w:rPr>
        <w:rFonts w:ascii="Arial" w:eastAsia="Arial" w:hAnsi="Arial" w:cs="Arial"/>
        <w:color w:val="1F2937"/>
        <w:sz w:val="20"/>
      </w:rPr>
      <w:t>1</w:t>
    </w:r>
    <w:r>
      <w:rPr>
        <w:rFonts w:ascii="Arial" w:eastAsia="Arial" w:hAnsi="Arial" w:cs="Arial"/>
        <w:color w:val="1F2937"/>
        <w:sz w:val="20"/>
      </w:rPr>
      <w:fldChar w:fldCharType="end"/>
    </w:r>
    <w:r>
      <w:rPr>
        <w:rFonts w:ascii="Arial" w:eastAsia="Arial" w:hAnsi="Arial" w:cs="Arial"/>
        <w:color w:val="1F2937"/>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26231" w14:textId="77777777" w:rsidR="00CD6B83" w:rsidRDefault="00CD6B83">
      <w:pPr>
        <w:spacing w:after="0" w:line="240" w:lineRule="auto"/>
      </w:pPr>
      <w:r>
        <w:separator/>
      </w:r>
    </w:p>
  </w:footnote>
  <w:footnote w:type="continuationSeparator" w:id="0">
    <w:p w14:paraId="4FBEEB3C" w14:textId="77777777" w:rsidR="00CD6B83" w:rsidRDefault="00CD6B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8331" w14:textId="77777777" w:rsidR="003F3C3C" w:rsidRDefault="00CD6B83">
    <w:pPr>
      <w:spacing w:after="0" w:line="259" w:lineRule="auto"/>
      <w:ind w:left="0" w:right="-10" w:firstLine="0"/>
      <w:jc w:val="right"/>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417771D5" wp14:editId="1E56D2BF">
              <wp:simplePos x="0" y="0"/>
              <wp:positionH relativeFrom="page">
                <wp:posOffset>895668</wp:posOffset>
              </wp:positionH>
              <wp:positionV relativeFrom="page">
                <wp:posOffset>609981</wp:posOffset>
              </wp:positionV>
              <wp:extent cx="5984241" cy="3175"/>
              <wp:effectExtent l="0" t="0" r="0" b="0"/>
              <wp:wrapSquare wrapText="bothSides"/>
              <wp:docPr id="14943" name="Group 14943"/>
              <wp:cNvGraphicFramePr/>
              <a:graphic xmlns:a="http://schemas.openxmlformats.org/drawingml/2006/main">
                <a:graphicData uri="http://schemas.microsoft.com/office/word/2010/wordprocessingGroup">
                  <wpg:wgp>
                    <wpg:cNvGrpSpPr/>
                    <wpg:grpSpPr>
                      <a:xfrm>
                        <a:off x="0" y="0"/>
                        <a:ext cx="5984241" cy="3175"/>
                        <a:chOff x="0" y="0"/>
                        <a:chExt cx="5984241" cy="3175"/>
                      </a:xfrm>
                    </wpg:grpSpPr>
                    <wps:wsp>
                      <wps:cNvPr id="15501" name="Shape 15501"/>
                      <wps:cNvSpPr/>
                      <wps:spPr>
                        <a:xfrm>
                          <a:off x="0" y="0"/>
                          <a:ext cx="5984241" cy="9144"/>
                        </a:xfrm>
                        <a:custGeom>
                          <a:avLst/>
                          <a:gdLst/>
                          <a:ahLst/>
                          <a:cxnLst/>
                          <a:rect l="0" t="0" r="0" b="0"/>
                          <a:pathLst>
                            <a:path w="5984241" h="9144">
                              <a:moveTo>
                                <a:pt x="0" y="0"/>
                              </a:moveTo>
                              <a:lnTo>
                                <a:pt x="5984241" y="0"/>
                              </a:lnTo>
                              <a:lnTo>
                                <a:pt x="5984241" y="9144"/>
                              </a:lnTo>
                              <a:lnTo>
                                <a:pt x="0" y="914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anchor>
          </w:drawing>
        </mc:Choice>
        <mc:Fallback xmlns:a="http://schemas.openxmlformats.org/drawingml/2006/main">
          <w:pict>
            <v:group id="Group 14943" style="width:471.2pt;height:0.25pt;position:absolute;mso-position-horizontal-relative:page;mso-position-horizontal:absolute;margin-left:70.525pt;mso-position-vertical-relative:page;margin-top:48.03pt;" coordsize="59842,31">
              <v:shape id="Shape 15502" style="position:absolute;width:59842;height:91;left:0;top:0;" coordsize="5984241,9144" path="m0,0l5984241,0l5984241,9144l0,9144l0,0">
                <v:stroke weight="0pt" endcap="flat" joinstyle="miter" miterlimit="10" on="false" color="#000000" opacity="0"/>
                <v:fill on="true" color="#cccccc"/>
              </v:shape>
              <w10:wrap type="square"/>
            </v:group>
          </w:pict>
        </mc:Fallback>
      </mc:AlternateContent>
    </w:r>
    <w:r>
      <w:rPr>
        <w:rFonts w:ascii="Arial" w:eastAsia="Arial" w:hAnsi="Arial" w:cs="Arial"/>
        <w:color w:val="6E6E6E"/>
        <w:sz w:val="14"/>
      </w:rPr>
      <w:t>MSR DECODE   |   MARKET DATA INTEGRITY</w:t>
    </w:r>
    <w:r>
      <w:rPr>
        <w:rFonts w:ascii="Arial" w:eastAsia="Arial" w:hAnsi="Arial" w:cs="Arial"/>
        <w:color w:val="1F2937"/>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26D78" w14:textId="77777777" w:rsidR="003F3C3C" w:rsidRDefault="00CD6B83">
    <w:pPr>
      <w:spacing w:after="0" w:line="259" w:lineRule="auto"/>
      <w:ind w:left="0" w:right="-10" w:firstLine="0"/>
      <w:jc w:val="right"/>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03DF9F1D" wp14:editId="34E7D814">
              <wp:simplePos x="0" y="0"/>
              <wp:positionH relativeFrom="page">
                <wp:posOffset>895668</wp:posOffset>
              </wp:positionH>
              <wp:positionV relativeFrom="page">
                <wp:posOffset>609981</wp:posOffset>
              </wp:positionV>
              <wp:extent cx="5984241" cy="3175"/>
              <wp:effectExtent l="0" t="0" r="0" b="0"/>
              <wp:wrapSquare wrapText="bothSides"/>
              <wp:docPr id="14919" name="Group 14919"/>
              <wp:cNvGraphicFramePr/>
              <a:graphic xmlns:a="http://schemas.openxmlformats.org/drawingml/2006/main">
                <a:graphicData uri="http://schemas.microsoft.com/office/word/2010/wordprocessingGroup">
                  <wpg:wgp>
                    <wpg:cNvGrpSpPr/>
                    <wpg:grpSpPr>
                      <a:xfrm>
                        <a:off x="0" y="0"/>
                        <a:ext cx="5984241" cy="3175"/>
                        <a:chOff x="0" y="0"/>
                        <a:chExt cx="5984241" cy="3175"/>
                      </a:xfrm>
                    </wpg:grpSpPr>
                    <wps:wsp>
                      <wps:cNvPr id="15499" name="Shape 15499"/>
                      <wps:cNvSpPr/>
                      <wps:spPr>
                        <a:xfrm>
                          <a:off x="0" y="0"/>
                          <a:ext cx="5984241" cy="9144"/>
                        </a:xfrm>
                        <a:custGeom>
                          <a:avLst/>
                          <a:gdLst/>
                          <a:ahLst/>
                          <a:cxnLst/>
                          <a:rect l="0" t="0" r="0" b="0"/>
                          <a:pathLst>
                            <a:path w="5984241" h="9144">
                              <a:moveTo>
                                <a:pt x="0" y="0"/>
                              </a:moveTo>
                              <a:lnTo>
                                <a:pt x="5984241" y="0"/>
                              </a:lnTo>
                              <a:lnTo>
                                <a:pt x="5984241" y="9144"/>
                              </a:lnTo>
                              <a:lnTo>
                                <a:pt x="0" y="914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anchor>
          </w:drawing>
        </mc:Choice>
        <mc:Fallback xmlns:a="http://schemas.openxmlformats.org/drawingml/2006/main">
          <w:pict>
            <v:group id="Group 14919" style="width:471.2pt;height:0.25pt;position:absolute;mso-position-horizontal-relative:page;mso-position-horizontal:absolute;margin-left:70.525pt;mso-position-vertical-relative:page;margin-top:48.03pt;" coordsize="59842,31">
              <v:shape id="Shape 15500" style="position:absolute;width:59842;height:91;left:0;top:0;" coordsize="5984241,9144" path="m0,0l5984241,0l5984241,9144l0,9144l0,0">
                <v:stroke weight="0pt" endcap="flat" joinstyle="miter" miterlimit="10" on="false" color="#000000" opacity="0"/>
                <v:fill on="true" color="#cccccc"/>
              </v:shape>
              <w10:wrap type="square"/>
            </v:group>
          </w:pict>
        </mc:Fallback>
      </mc:AlternateContent>
    </w:r>
    <w:r>
      <w:rPr>
        <w:rFonts w:ascii="Arial" w:eastAsia="Arial" w:hAnsi="Arial" w:cs="Arial"/>
        <w:color w:val="6E6E6E"/>
        <w:sz w:val="14"/>
      </w:rPr>
      <w:t>MSR DECODE   |   MARKET DATA INTEGRITY</w:t>
    </w:r>
    <w:r>
      <w:rPr>
        <w:rFonts w:ascii="Arial" w:eastAsia="Arial" w:hAnsi="Arial" w:cs="Arial"/>
        <w:color w:val="1F2937"/>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DE5BC" w14:textId="77777777" w:rsidR="003F3C3C" w:rsidRDefault="00CD6B83">
    <w:pPr>
      <w:spacing w:after="0" w:line="259" w:lineRule="auto"/>
      <w:ind w:left="0" w:right="-10" w:firstLine="0"/>
      <w:jc w:val="right"/>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14:anchorId="3D59481D" wp14:editId="25305A00">
              <wp:simplePos x="0" y="0"/>
              <wp:positionH relativeFrom="page">
                <wp:posOffset>895668</wp:posOffset>
              </wp:positionH>
              <wp:positionV relativeFrom="page">
                <wp:posOffset>609981</wp:posOffset>
              </wp:positionV>
              <wp:extent cx="5984241" cy="3175"/>
              <wp:effectExtent l="0" t="0" r="0" b="0"/>
              <wp:wrapSquare wrapText="bothSides"/>
              <wp:docPr id="14895" name="Group 14895"/>
              <wp:cNvGraphicFramePr/>
              <a:graphic xmlns:a="http://schemas.openxmlformats.org/drawingml/2006/main">
                <a:graphicData uri="http://schemas.microsoft.com/office/word/2010/wordprocessingGroup">
                  <wpg:wgp>
                    <wpg:cNvGrpSpPr/>
                    <wpg:grpSpPr>
                      <a:xfrm>
                        <a:off x="0" y="0"/>
                        <a:ext cx="5984241" cy="3175"/>
                        <a:chOff x="0" y="0"/>
                        <a:chExt cx="5984241" cy="3175"/>
                      </a:xfrm>
                    </wpg:grpSpPr>
                    <wps:wsp>
                      <wps:cNvPr id="15497" name="Shape 15497"/>
                      <wps:cNvSpPr/>
                      <wps:spPr>
                        <a:xfrm>
                          <a:off x="0" y="0"/>
                          <a:ext cx="5984241" cy="9144"/>
                        </a:xfrm>
                        <a:custGeom>
                          <a:avLst/>
                          <a:gdLst/>
                          <a:ahLst/>
                          <a:cxnLst/>
                          <a:rect l="0" t="0" r="0" b="0"/>
                          <a:pathLst>
                            <a:path w="5984241" h="9144">
                              <a:moveTo>
                                <a:pt x="0" y="0"/>
                              </a:moveTo>
                              <a:lnTo>
                                <a:pt x="5984241" y="0"/>
                              </a:lnTo>
                              <a:lnTo>
                                <a:pt x="5984241" y="9144"/>
                              </a:lnTo>
                              <a:lnTo>
                                <a:pt x="0" y="914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anchor>
          </w:drawing>
        </mc:Choice>
        <mc:Fallback xmlns:a="http://schemas.openxmlformats.org/drawingml/2006/main">
          <w:pict>
            <v:group id="Group 14895" style="width:471.2pt;height:0.25pt;position:absolute;mso-position-horizontal-relative:page;mso-position-horizontal:absolute;margin-left:70.525pt;mso-position-vertical-relative:page;margin-top:48.03pt;" coordsize="59842,31">
              <v:shape id="Shape 15498" style="position:absolute;width:59842;height:91;left:0;top:0;" coordsize="5984241,9144" path="m0,0l5984241,0l5984241,9144l0,9144l0,0">
                <v:stroke weight="0pt" endcap="flat" joinstyle="miter" miterlimit="10" on="false" color="#000000" opacity="0"/>
                <v:fill on="true" color="#cccccc"/>
              </v:shape>
              <w10:wrap type="square"/>
            </v:group>
          </w:pict>
        </mc:Fallback>
      </mc:AlternateContent>
    </w:r>
    <w:r>
      <w:rPr>
        <w:rFonts w:ascii="Arial" w:eastAsia="Arial" w:hAnsi="Arial" w:cs="Arial"/>
        <w:color w:val="6E6E6E"/>
        <w:sz w:val="14"/>
      </w:rPr>
      <w:t>MSR DECODE   |   MARKET DATA INTEGRITY</w:t>
    </w:r>
    <w:r>
      <w:rPr>
        <w:rFonts w:ascii="Arial" w:eastAsia="Arial" w:hAnsi="Arial" w:cs="Arial"/>
        <w:color w:val="1F2937"/>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A5D58"/>
    <w:multiLevelType w:val="hybridMultilevel"/>
    <w:tmpl w:val="A2A4DBEE"/>
    <w:lvl w:ilvl="0" w:tplc="FC468EA2">
      <w:start w:val="1"/>
      <w:numFmt w:val="bullet"/>
      <w:lvlText w:val="•"/>
      <w:lvlJc w:val="left"/>
      <w:pPr>
        <w:ind w:left="361"/>
      </w:pPr>
      <w:rPr>
        <w:rFonts w:ascii="Arial" w:eastAsia="Arial" w:hAnsi="Arial" w:cs="Arial"/>
        <w:b w:val="0"/>
        <w:i w:val="0"/>
        <w:strike w:val="0"/>
        <w:dstrike w:val="0"/>
        <w:color w:val="1F2937"/>
        <w:sz w:val="20"/>
        <w:szCs w:val="20"/>
        <w:u w:val="none" w:color="000000"/>
        <w:bdr w:val="none" w:sz="0" w:space="0" w:color="auto"/>
        <w:shd w:val="clear" w:color="auto" w:fill="auto"/>
        <w:vertAlign w:val="baseline"/>
      </w:rPr>
    </w:lvl>
    <w:lvl w:ilvl="1" w:tplc="773247EA">
      <w:start w:val="1"/>
      <w:numFmt w:val="bullet"/>
      <w:lvlText w:val="o"/>
      <w:lvlJc w:val="left"/>
      <w:pPr>
        <w:ind w:left="1260"/>
      </w:pPr>
      <w:rPr>
        <w:rFonts w:ascii="Segoe UI Symbol" w:eastAsia="Segoe UI Symbol" w:hAnsi="Segoe UI Symbol" w:cs="Segoe UI Symbol"/>
        <w:b w:val="0"/>
        <w:i w:val="0"/>
        <w:strike w:val="0"/>
        <w:dstrike w:val="0"/>
        <w:color w:val="1F2937"/>
        <w:sz w:val="20"/>
        <w:szCs w:val="20"/>
        <w:u w:val="none" w:color="000000"/>
        <w:bdr w:val="none" w:sz="0" w:space="0" w:color="auto"/>
        <w:shd w:val="clear" w:color="auto" w:fill="auto"/>
        <w:vertAlign w:val="baseline"/>
      </w:rPr>
    </w:lvl>
    <w:lvl w:ilvl="2" w:tplc="2EB41D2A">
      <w:start w:val="1"/>
      <w:numFmt w:val="bullet"/>
      <w:lvlText w:val="▪"/>
      <w:lvlJc w:val="left"/>
      <w:pPr>
        <w:ind w:left="1980"/>
      </w:pPr>
      <w:rPr>
        <w:rFonts w:ascii="Segoe UI Symbol" w:eastAsia="Segoe UI Symbol" w:hAnsi="Segoe UI Symbol" w:cs="Segoe UI Symbol"/>
        <w:b w:val="0"/>
        <w:i w:val="0"/>
        <w:strike w:val="0"/>
        <w:dstrike w:val="0"/>
        <w:color w:val="1F2937"/>
        <w:sz w:val="20"/>
        <w:szCs w:val="20"/>
        <w:u w:val="none" w:color="000000"/>
        <w:bdr w:val="none" w:sz="0" w:space="0" w:color="auto"/>
        <w:shd w:val="clear" w:color="auto" w:fill="auto"/>
        <w:vertAlign w:val="baseline"/>
      </w:rPr>
    </w:lvl>
    <w:lvl w:ilvl="3" w:tplc="549677C0">
      <w:start w:val="1"/>
      <w:numFmt w:val="bullet"/>
      <w:lvlText w:val="•"/>
      <w:lvlJc w:val="left"/>
      <w:pPr>
        <w:ind w:left="2700"/>
      </w:pPr>
      <w:rPr>
        <w:rFonts w:ascii="Arial" w:eastAsia="Arial" w:hAnsi="Arial" w:cs="Arial"/>
        <w:b w:val="0"/>
        <w:i w:val="0"/>
        <w:strike w:val="0"/>
        <w:dstrike w:val="0"/>
        <w:color w:val="1F2937"/>
        <w:sz w:val="20"/>
        <w:szCs w:val="20"/>
        <w:u w:val="none" w:color="000000"/>
        <w:bdr w:val="none" w:sz="0" w:space="0" w:color="auto"/>
        <w:shd w:val="clear" w:color="auto" w:fill="auto"/>
        <w:vertAlign w:val="baseline"/>
      </w:rPr>
    </w:lvl>
    <w:lvl w:ilvl="4" w:tplc="7D7A0D44">
      <w:start w:val="1"/>
      <w:numFmt w:val="bullet"/>
      <w:lvlText w:val="o"/>
      <w:lvlJc w:val="left"/>
      <w:pPr>
        <w:ind w:left="3420"/>
      </w:pPr>
      <w:rPr>
        <w:rFonts w:ascii="Segoe UI Symbol" w:eastAsia="Segoe UI Symbol" w:hAnsi="Segoe UI Symbol" w:cs="Segoe UI Symbol"/>
        <w:b w:val="0"/>
        <w:i w:val="0"/>
        <w:strike w:val="0"/>
        <w:dstrike w:val="0"/>
        <w:color w:val="1F2937"/>
        <w:sz w:val="20"/>
        <w:szCs w:val="20"/>
        <w:u w:val="none" w:color="000000"/>
        <w:bdr w:val="none" w:sz="0" w:space="0" w:color="auto"/>
        <w:shd w:val="clear" w:color="auto" w:fill="auto"/>
        <w:vertAlign w:val="baseline"/>
      </w:rPr>
    </w:lvl>
    <w:lvl w:ilvl="5" w:tplc="6D944AE2">
      <w:start w:val="1"/>
      <w:numFmt w:val="bullet"/>
      <w:lvlText w:val="▪"/>
      <w:lvlJc w:val="left"/>
      <w:pPr>
        <w:ind w:left="4140"/>
      </w:pPr>
      <w:rPr>
        <w:rFonts w:ascii="Segoe UI Symbol" w:eastAsia="Segoe UI Symbol" w:hAnsi="Segoe UI Symbol" w:cs="Segoe UI Symbol"/>
        <w:b w:val="0"/>
        <w:i w:val="0"/>
        <w:strike w:val="0"/>
        <w:dstrike w:val="0"/>
        <w:color w:val="1F2937"/>
        <w:sz w:val="20"/>
        <w:szCs w:val="20"/>
        <w:u w:val="none" w:color="000000"/>
        <w:bdr w:val="none" w:sz="0" w:space="0" w:color="auto"/>
        <w:shd w:val="clear" w:color="auto" w:fill="auto"/>
        <w:vertAlign w:val="baseline"/>
      </w:rPr>
    </w:lvl>
    <w:lvl w:ilvl="6" w:tplc="2246309C">
      <w:start w:val="1"/>
      <w:numFmt w:val="bullet"/>
      <w:lvlText w:val="•"/>
      <w:lvlJc w:val="left"/>
      <w:pPr>
        <w:ind w:left="4860"/>
      </w:pPr>
      <w:rPr>
        <w:rFonts w:ascii="Arial" w:eastAsia="Arial" w:hAnsi="Arial" w:cs="Arial"/>
        <w:b w:val="0"/>
        <w:i w:val="0"/>
        <w:strike w:val="0"/>
        <w:dstrike w:val="0"/>
        <w:color w:val="1F2937"/>
        <w:sz w:val="20"/>
        <w:szCs w:val="20"/>
        <w:u w:val="none" w:color="000000"/>
        <w:bdr w:val="none" w:sz="0" w:space="0" w:color="auto"/>
        <w:shd w:val="clear" w:color="auto" w:fill="auto"/>
        <w:vertAlign w:val="baseline"/>
      </w:rPr>
    </w:lvl>
    <w:lvl w:ilvl="7" w:tplc="18BC5CBE">
      <w:start w:val="1"/>
      <w:numFmt w:val="bullet"/>
      <w:lvlText w:val="o"/>
      <w:lvlJc w:val="left"/>
      <w:pPr>
        <w:ind w:left="5580"/>
      </w:pPr>
      <w:rPr>
        <w:rFonts w:ascii="Segoe UI Symbol" w:eastAsia="Segoe UI Symbol" w:hAnsi="Segoe UI Symbol" w:cs="Segoe UI Symbol"/>
        <w:b w:val="0"/>
        <w:i w:val="0"/>
        <w:strike w:val="0"/>
        <w:dstrike w:val="0"/>
        <w:color w:val="1F2937"/>
        <w:sz w:val="20"/>
        <w:szCs w:val="20"/>
        <w:u w:val="none" w:color="000000"/>
        <w:bdr w:val="none" w:sz="0" w:space="0" w:color="auto"/>
        <w:shd w:val="clear" w:color="auto" w:fill="auto"/>
        <w:vertAlign w:val="baseline"/>
      </w:rPr>
    </w:lvl>
    <w:lvl w:ilvl="8" w:tplc="45DEBBA0">
      <w:start w:val="1"/>
      <w:numFmt w:val="bullet"/>
      <w:lvlText w:val="▪"/>
      <w:lvlJc w:val="left"/>
      <w:pPr>
        <w:ind w:left="6300"/>
      </w:pPr>
      <w:rPr>
        <w:rFonts w:ascii="Segoe UI Symbol" w:eastAsia="Segoe UI Symbol" w:hAnsi="Segoe UI Symbol" w:cs="Segoe UI Symbol"/>
        <w:b w:val="0"/>
        <w:i w:val="0"/>
        <w:strike w:val="0"/>
        <w:dstrike w:val="0"/>
        <w:color w:val="1F2937"/>
        <w:sz w:val="20"/>
        <w:szCs w:val="20"/>
        <w:u w:val="none" w:color="000000"/>
        <w:bdr w:val="none" w:sz="0" w:space="0" w:color="auto"/>
        <w:shd w:val="clear" w:color="auto" w:fill="auto"/>
        <w:vertAlign w:val="baseline"/>
      </w:rPr>
    </w:lvl>
  </w:abstractNum>
  <w:abstractNum w:abstractNumId="1" w15:restartNumberingAfterBreak="0">
    <w:nsid w:val="72E75283"/>
    <w:multiLevelType w:val="hybridMultilevel"/>
    <w:tmpl w:val="61A4537A"/>
    <w:lvl w:ilvl="0" w:tplc="F8DEF886">
      <w:start w:val="1"/>
      <w:numFmt w:val="bullet"/>
      <w:lvlText w:val="•"/>
      <w:lvlJc w:val="left"/>
      <w:pPr>
        <w:ind w:left="361"/>
      </w:pPr>
      <w:rPr>
        <w:rFonts w:ascii="Arial" w:eastAsia="Arial" w:hAnsi="Arial" w:cs="Arial"/>
        <w:b w:val="0"/>
        <w:i w:val="0"/>
        <w:strike w:val="0"/>
        <w:dstrike w:val="0"/>
        <w:color w:val="1F2937"/>
        <w:sz w:val="20"/>
        <w:szCs w:val="20"/>
        <w:u w:val="none" w:color="000000"/>
        <w:bdr w:val="none" w:sz="0" w:space="0" w:color="auto"/>
        <w:shd w:val="clear" w:color="auto" w:fill="auto"/>
        <w:vertAlign w:val="baseline"/>
      </w:rPr>
    </w:lvl>
    <w:lvl w:ilvl="1" w:tplc="C02CCEFA">
      <w:start w:val="1"/>
      <w:numFmt w:val="bullet"/>
      <w:lvlText w:val="o"/>
      <w:lvlJc w:val="left"/>
      <w:pPr>
        <w:ind w:left="1260"/>
      </w:pPr>
      <w:rPr>
        <w:rFonts w:ascii="Segoe UI Symbol" w:eastAsia="Segoe UI Symbol" w:hAnsi="Segoe UI Symbol" w:cs="Segoe UI Symbol"/>
        <w:b w:val="0"/>
        <w:i w:val="0"/>
        <w:strike w:val="0"/>
        <w:dstrike w:val="0"/>
        <w:color w:val="1F2937"/>
        <w:sz w:val="20"/>
        <w:szCs w:val="20"/>
        <w:u w:val="none" w:color="000000"/>
        <w:bdr w:val="none" w:sz="0" w:space="0" w:color="auto"/>
        <w:shd w:val="clear" w:color="auto" w:fill="auto"/>
        <w:vertAlign w:val="baseline"/>
      </w:rPr>
    </w:lvl>
    <w:lvl w:ilvl="2" w:tplc="FE128CA6">
      <w:start w:val="1"/>
      <w:numFmt w:val="bullet"/>
      <w:lvlText w:val="▪"/>
      <w:lvlJc w:val="left"/>
      <w:pPr>
        <w:ind w:left="1980"/>
      </w:pPr>
      <w:rPr>
        <w:rFonts w:ascii="Segoe UI Symbol" w:eastAsia="Segoe UI Symbol" w:hAnsi="Segoe UI Symbol" w:cs="Segoe UI Symbol"/>
        <w:b w:val="0"/>
        <w:i w:val="0"/>
        <w:strike w:val="0"/>
        <w:dstrike w:val="0"/>
        <w:color w:val="1F2937"/>
        <w:sz w:val="20"/>
        <w:szCs w:val="20"/>
        <w:u w:val="none" w:color="000000"/>
        <w:bdr w:val="none" w:sz="0" w:space="0" w:color="auto"/>
        <w:shd w:val="clear" w:color="auto" w:fill="auto"/>
        <w:vertAlign w:val="baseline"/>
      </w:rPr>
    </w:lvl>
    <w:lvl w:ilvl="3" w:tplc="2CA05E3A">
      <w:start w:val="1"/>
      <w:numFmt w:val="bullet"/>
      <w:lvlText w:val="•"/>
      <w:lvlJc w:val="left"/>
      <w:pPr>
        <w:ind w:left="2700"/>
      </w:pPr>
      <w:rPr>
        <w:rFonts w:ascii="Arial" w:eastAsia="Arial" w:hAnsi="Arial" w:cs="Arial"/>
        <w:b w:val="0"/>
        <w:i w:val="0"/>
        <w:strike w:val="0"/>
        <w:dstrike w:val="0"/>
        <w:color w:val="1F2937"/>
        <w:sz w:val="20"/>
        <w:szCs w:val="20"/>
        <w:u w:val="none" w:color="000000"/>
        <w:bdr w:val="none" w:sz="0" w:space="0" w:color="auto"/>
        <w:shd w:val="clear" w:color="auto" w:fill="auto"/>
        <w:vertAlign w:val="baseline"/>
      </w:rPr>
    </w:lvl>
    <w:lvl w:ilvl="4" w:tplc="632AACC8">
      <w:start w:val="1"/>
      <w:numFmt w:val="bullet"/>
      <w:lvlText w:val="o"/>
      <w:lvlJc w:val="left"/>
      <w:pPr>
        <w:ind w:left="3420"/>
      </w:pPr>
      <w:rPr>
        <w:rFonts w:ascii="Segoe UI Symbol" w:eastAsia="Segoe UI Symbol" w:hAnsi="Segoe UI Symbol" w:cs="Segoe UI Symbol"/>
        <w:b w:val="0"/>
        <w:i w:val="0"/>
        <w:strike w:val="0"/>
        <w:dstrike w:val="0"/>
        <w:color w:val="1F2937"/>
        <w:sz w:val="20"/>
        <w:szCs w:val="20"/>
        <w:u w:val="none" w:color="000000"/>
        <w:bdr w:val="none" w:sz="0" w:space="0" w:color="auto"/>
        <w:shd w:val="clear" w:color="auto" w:fill="auto"/>
        <w:vertAlign w:val="baseline"/>
      </w:rPr>
    </w:lvl>
    <w:lvl w:ilvl="5" w:tplc="F0081F54">
      <w:start w:val="1"/>
      <w:numFmt w:val="bullet"/>
      <w:lvlText w:val="▪"/>
      <w:lvlJc w:val="left"/>
      <w:pPr>
        <w:ind w:left="4140"/>
      </w:pPr>
      <w:rPr>
        <w:rFonts w:ascii="Segoe UI Symbol" w:eastAsia="Segoe UI Symbol" w:hAnsi="Segoe UI Symbol" w:cs="Segoe UI Symbol"/>
        <w:b w:val="0"/>
        <w:i w:val="0"/>
        <w:strike w:val="0"/>
        <w:dstrike w:val="0"/>
        <w:color w:val="1F2937"/>
        <w:sz w:val="20"/>
        <w:szCs w:val="20"/>
        <w:u w:val="none" w:color="000000"/>
        <w:bdr w:val="none" w:sz="0" w:space="0" w:color="auto"/>
        <w:shd w:val="clear" w:color="auto" w:fill="auto"/>
        <w:vertAlign w:val="baseline"/>
      </w:rPr>
    </w:lvl>
    <w:lvl w:ilvl="6" w:tplc="316EB3F8">
      <w:start w:val="1"/>
      <w:numFmt w:val="bullet"/>
      <w:lvlText w:val="•"/>
      <w:lvlJc w:val="left"/>
      <w:pPr>
        <w:ind w:left="4860"/>
      </w:pPr>
      <w:rPr>
        <w:rFonts w:ascii="Arial" w:eastAsia="Arial" w:hAnsi="Arial" w:cs="Arial"/>
        <w:b w:val="0"/>
        <w:i w:val="0"/>
        <w:strike w:val="0"/>
        <w:dstrike w:val="0"/>
        <w:color w:val="1F2937"/>
        <w:sz w:val="20"/>
        <w:szCs w:val="20"/>
        <w:u w:val="none" w:color="000000"/>
        <w:bdr w:val="none" w:sz="0" w:space="0" w:color="auto"/>
        <w:shd w:val="clear" w:color="auto" w:fill="auto"/>
        <w:vertAlign w:val="baseline"/>
      </w:rPr>
    </w:lvl>
    <w:lvl w:ilvl="7" w:tplc="CC102D2C">
      <w:start w:val="1"/>
      <w:numFmt w:val="bullet"/>
      <w:lvlText w:val="o"/>
      <w:lvlJc w:val="left"/>
      <w:pPr>
        <w:ind w:left="5580"/>
      </w:pPr>
      <w:rPr>
        <w:rFonts w:ascii="Segoe UI Symbol" w:eastAsia="Segoe UI Symbol" w:hAnsi="Segoe UI Symbol" w:cs="Segoe UI Symbol"/>
        <w:b w:val="0"/>
        <w:i w:val="0"/>
        <w:strike w:val="0"/>
        <w:dstrike w:val="0"/>
        <w:color w:val="1F2937"/>
        <w:sz w:val="20"/>
        <w:szCs w:val="20"/>
        <w:u w:val="none" w:color="000000"/>
        <w:bdr w:val="none" w:sz="0" w:space="0" w:color="auto"/>
        <w:shd w:val="clear" w:color="auto" w:fill="auto"/>
        <w:vertAlign w:val="baseline"/>
      </w:rPr>
    </w:lvl>
    <w:lvl w:ilvl="8" w:tplc="45BCB36C">
      <w:start w:val="1"/>
      <w:numFmt w:val="bullet"/>
      <w:lvlText w:val="▪"/>
      <w:lvlJc w:val="left"/>
      <w:pPr>
        <w:ind w:left="6300"/>
      </w:pPr>
      <w:rPr>
        <w:rFonts w:ascii="Segoe UI Symbol" w:eastAsia="Segoe UI Symbol" w:hAnsi="Segoe UI Symbol" w:cs="Segoe UI Symbol"/>
        <w:b w:val="0"/>
        <w:i w:val="0"/>
        <w:strike w:val="0"/>
        <w:dstrike w:val="0"/>
        <w:color w:val="1F2937"/>
        <w:sz w:val="20"/>
        <w:szCs w:val="20"/>
        <w:u w:val="none" w:color="000000"/>
        <w:bdr w:val="none" w:sz="0" w:space="0" w:color="auto"/>
        <w:shd w:val="clear" w:color="auto" w:fill="auto"/>
        <w:vertAlign w:val="baseline"/>
      </w:rPr>
    </w:lvl>
  </w:abstractNum>
  <w:num w:numId="1" w16cid:durableId="741410996">
    <w:abstractNumId w:val="0"/>
  </w:num>
  <w:num w:numId="2" w16cid:durableId="1370031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C3C"/>
    <w:rsid w:val="003F3C3C"/>
    <w:rsid w:val="00A7544B"/>
    <w:rsid w:val="00CD6B83"/>
    <w:rsid w:val="00EC03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6823A"/>
  <w15:docId w15:val="{ACCE13AC-279E-4294-9682-F09629BE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2" w:line="297" w:lineRule="auto"/>
      <w:ind w:left="10" w:hanging="10"/>
    </w:pPr>
    <w:rPr>
      <w:rFonts w:ascii="Georgia" w:eastAsia="Georgia" w:hAnsi="Georgia" w:cs="Georgia"/>
      <w:color w:val="1A1A1A"/>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1A1A1A"/>
      <w:sz w:val="26"/>
    </w:rPr>
  </w:style>
  <w:style w:type="paragraph" w:styleId="Heading2">
    <w:name w:val="heading 2"/>
    <w:next w:val="Normal"/>
    <w:link w:val="Heading2Char"/>
    <w:uiPriority w:val="9"/>
    <w:unhideWhenUsed/>
    <w:qFormat/>
    <w:pPr>
      <w:keepNext/>
      <w:keepLines/>
      <w:spacing w:after="101" w:line="259" w:lineRule="auto"/>
      <w:ind w:left="10" w:hanging="10"/>
      <w:outlineLvl w:val="1"/>
    </w:pPr>
    <w:rPr>
      <w:rFonts w:ascii="Arial" w:eastAsia="Arial" w:hAnsi="Arial" w:cs="Arial"/>
      <w:b/>
      <w:color w:val="1A1A1A"/>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1A1A1A"/>
      <w:sz w:val="26"/>
    </w:rPr>
  </w:style>
  <w:style w:type="character" w:customStyle="1" w:styleId="Heading2Char">
    <w:name w:val="Heading 2 Char"/>
    <w:link w:val="Heading2"/>
    <w:rPr>
      <w:rFonts w:ascii="Arial" w:eastAsia="Arial" w:hAnsi="Arial" w:cs="Arial"/>
      <w:b/>
      <w:color w:val="1A1A1A"/>
      <w:sz w:val="23"/>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3498</Words>
  <Characters>19942</Characters>
  <Application>Microsoft Office Word</Application>
  <DocSecurity>4</DocSecurity>
  <Lines>166</Lines>
  <Paragraphs>46</Paragraphs>
  <ScaleCrop>false</ScaleCrop>
  <Company/>
  <LinksUpToDate>false</LinksUpToDate>
  <CharactersWithSpaces>23394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Leaderboard PnL Does Not Equal Trading Profit</dc:title>
  <dc:subject>MSR Decode research note on Polymarket PnL and leaderboard integrity</dc:subject>
  <dc:creator>MSR Decode</dc:creator>
  <cp:keywords>Polymarket, prediction markets, PnL, leaderboard, market data integrity, MSR Decode</cp:keywords>
  <cp:lastModifiedBy>Justin Z</cp:lastModifiedBy>
  <cp:revision>2</cp:revision>
  <dcterms:created xsi:type="dcterms:W3CDTF">2026-10-06T05:21:00Z</dcterms:created>
  <dcterms:modified xsi:type="dcterms:W3CDTF">2026-10-06T05:21:00Z</dcterms:modified>
</cp:coreProperties>
</file>